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61" w:rsidRDefault="000E4CE2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2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D0E61">
        <w:tc>
          <w:tcPr>
            <w:tcW w:w="6379" w:type="dxa"/>
          </w:tcPr>
          <w:p w:rsidR="00CD0E61" w:rsidRDefault="000E4CE2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CD0E61" w:rsidRDefault="000E4CE2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Ivankova 13, 21311 Stobreč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400-02/26-01/1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2181-170-26-1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Stobreč,  31.03.2026.g.</w:t>
            </w:r>
          </w:p>
        </w:tc>
        <w:tc>
          <w:tcPr>
            <w:tcW w:w="2693" w:type="dxa"/>
          </w:tcPr>
          <w:p w:rsidR="00CD0E61" w:rsidRDefault="000E4CE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sz w:val="22"/>
          <w:szCs w:val="22"/>
        </w:rPr>
        <w:t>Temeljem članka</w:t>
      </w:r>
      <w:r>
        <w:rPr>
          <w:rFonts w:ascii="Arial" w:hAnsi="Arial" w:cs="Arial"/>
          <w:sz w:val="22"/>
          <w:szCs w:val="22"/>
        </w:rPr>
        <w:t xml:space="preserve"> 81. novog Zakona o proračunu (NN 144/21), odredbi Pravilnika o polugodišnjem i godišnjem izvještavanju o izvršenju proračuna (NN 24/13, 102/17, 1/20 i 147/20), Zakona o fiskalnoj odgovornosti (NN 111/18, 83/23) i Uredbe o sastavljanju i predaji Izjave o f</w:t>
      </w:r>
      <w:r>
        <w:rPr>
          <w:rFonts w:ascii="Arial" w:hAnsi="Arial" w:cs="Arial"/>
          <w:sz w:val="22"/>
          <w:szCs w:val="22"/>
        </w:rPr>
        <w:t xml:space="preserve">iskalnoj odgovornosti i izvještaja o primjeni fiskalnih pravila (NN 95/19) te članaka 58. i 70.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Statuta Osnovne škole Stobreč, Stobreč (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  <w:t>KLASA: 602-02/19-01/36, URBROJ: 2181-170-19-1, od 22.05.2019.g., te KLASA: 602-02/20-01/62, URBROJ: 2181-170-20-4, od 29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  <w:t xml:space="preserve">.05.2020.g.), ravnatelj OŠ Stobreč, Siniša Duhović, prof., na sjednici ŠO održanoj dana 31. ožujka 2026. podnosi Školskom odboru </w:t>
      </w:r>
    </w:p>
    <w:p w:rsidR="00CD0E61" w:rsidRDefault="00CD0E61">
      <w:pPr>
        <w:spacing w:line="360" w:lineRule="auto"/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</w:pPr>
    </w:p>
    <w:p w:rsidR="00CD0E61" w:rsidRDefault="000E4CE2">
      <w:pPr>
        <w:spacing w:line="360" w:lineRule="auto"/>
        <w:ind w:left="1416" w:firstLine="708"/>
        <w:jc w:val="center"/>
        <w:rPr>
          <w:rFonts w:ascii="Arial" w:hAnsi="Arial" w:cs="Arial"/>
          <w:b/>
          <w:color w:val="242424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b/>
          <w:color w:val="242424"/>
          <w:sz w:val="22"/>
          <w:szCs w:val="22"/>
          <w:shd w:val="clear" w:color="auto" w:fill="FFFFFF"/>
          <w:lang w:val="en-GB"/>
        </w:rPr>
        <w:t>GODIŠNJI  IZVJEŠTAJ O IZVRŠENJU FINANCIJSKOG PLANA ZA  RAZDOBLJE OD 01.01.2025.-31.12.2025.g</w:t>
      </w:r>
    </w:p>
    <w:p w:rsidR="00CD0E61" w:rsidRDefault="000E4C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1.OPĆI DIO</w:t>
      </w:r>
    </w:p>
    <w:p w:rsidR="00CD0E61" w:rsidRDefault="00CD0E61">
      <w:pPr>
        <w:rPr>
          <w:rFonts w:ascii="Arial" w:hAnsi="Arial" w:cs="Arial"/>
          <w:b/>
          <w:sz w:val="22"/>
          <w:szCs w:val="22"/>
        </w:rPr>
      </w:pPr>
    </w:p>
    <w:p w:rsidR="00CD0E61" w:rsidRDefault="000E4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dio sadrži:</w:t>
      </w:r>
    </w:p>
    <w:p w:rsidR="00CD0E61" w:rsidRDefault="000E4CE2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1.1.Sažetak Računa prihoda i rashoda i Računa financiranja</w:t>
      </w:r>
    </w:p>
    <w:p w:rsidR="00CD0E61" w:rsidRDefault="000E4CE2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1.2.Račun prihoda i rashoda :</w:t>
      </w:r>
    </w:p>
    <w:p w:rsidR="00CD0E61" w:rsidRDefault="000E4CE2">
      <w:pPr>
        <w:pStyle w:val="Odlomakpopis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1.2.1.Izvještaj prema ekonomskoj klasifikaciji</w:t>
      </w:r>
    </w:p>
    <w:p w:rsidR="00CD0E61" w:rsidRDefault="000E4CE2">
      <w:pPr>
        <w:pStyle w:val="Odlomakpopis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1.2.2.Izvještaj prema izvorima financiranja</w:t>
      </w:r>
    </w:p>
    <w:p w:rsidR="00CD0E61" w:rsidRDefault="000E4CE2">
      <w:pPr>
        <w:pStyle w:val="Odlomakpopis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1.2.3.Izvještaj prema funkcijskoj klasifikaciji</w:t>
      </w:r>
    </w:p>
    <w:p w:rsidR="00CD0E61" w:rsidRDefault="000E4CE2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1.3.Račun financiranja</w:t>
      </w:r>
    </w:p>
    <w:p w:rsidR="00CD0E61" w:rsidRDefault="000E4CE2">
      <w:pPr>
        <w:pStyle w:val="Odlomakpopis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1.3.1</w:t>
      </w:r>
      <w:r>
        <w:rPr>
          <w:rFonts w:ascii="Arial" w:hAnsi="Arial" w:cs="Arial"/>
          <w:sz w:val="22"/>
          <w:szCs w:val="22"/>
        </w:rPr>
        <w:t>.Izvještaj po ekonomskoj klasifikaciji</w:t>
      </w:r>
    </w:p>
    <w:p w:rsidR="00CD0E61" w:rsidRDefault="000E4CE2">
      <w:pPr>
        <w:pStyle w:val="Odlomakpopis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1.3.2.Račun financiranja prema izvorima</w:t>
      </w:r>
    </w:p>
    <w:p w:rsidR="00CD0E61" w:rsidRDefault="00CD0E61">
      <w:pPr>
        <w:jc w:val="both"/>
        <w:rPr>
          <w:rFonts w:ascii="Arial" w:hAnsi="Arial" w:cs="Arial"/>
          <w:b/>
          <w:sz w:val="22"/>
          <w:szCs w:val="22"/>
        </w:rPr>
      </w:pPr>
    </w:p>
    <w:p w:rsidR="00CD0E61" w:rsidRDefault="00CD0E61">
      <w:pPr>
        <w:jc w:val="both"/>
        <w:rPr>
          <w:rFonts w:ascii="Arial" w:hAnsi="Arial" w:cs="Arial"/>
          <w:sz w:val="22"/>
          <w:szCs w:val="22"/>
        </w:rPr>
      </w:pPr>
    </w:p>
    <w:p w:rsidR="00CD0E61" w:rsidRDefault="000E4CE2">
      <w:pPr>
        <w:pStyle w:val="Odlomakpopisa"/>
        <w:numPr>
          <w:ilvl w:val="1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Sažetak računa prihoda i rashoda i računa financiranja</w:t>
      </w:r>
    </w:p>
    <w:p w:rsidR="00CD0E61" w:rsidRDefault="00CD0E61">
      <w:pPr>
        <w:pStyle w:val="Odlomakpopisa"/>
        <w:ind w:left="360"/>
        <w:rPr>
          <w:rFonts w:ascii="Arial" w:hAnsi="Arial" w:cs="Arial"/>
          <w:b/>
          <w:sz w:val="22"/>
          <w:szCs w:val="22"/>
        </w:rPr>
      </w:pPr>
    </w:p>
    <w:p w:rsidR="00CD0E61" w:rsidRDefault="000E4C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Ukupno ostvareni prihodi i izvršeni rashodi na razini razreda ekonomske klasifikacije te preneseni viškovi / manjkovi i</w:t>
      </w:r>
      <w:r>
        <w:rPr>
          <w:rFonts w:ascii="Arial" w:hAnsi="Arial" w:cs="Arial"/>
          <w:sz w:val="22"/>
          <w:szCs w:val="22"/>
        </w:rPr>
        <w:t>skazani su u Sažetku  računa prihoda i rashoda i Računa financiranja za razdoblje 1.1.2025.-31.12.2025. godine i to kako slijedi:</w:t>
      </w:r>
    </w:p>
    <w:tbl>
      <w:tblPr>
        <w:tblW w:w="1220" w:type="dxa"/>
        <w:tblLook w:val="04A0" w:firstRow="1" w:lastRow="0" w:firstColumn="1" w:lastColumn="0" w:noHBand="0" w:noVBand="1"/>
      </w:tblPr>
      <w:tblGrid>
        <w:gridCol w:w="1220"/>
      </w:tblGrid>
      <w:tr w:rsidR="00CD0E61">
        <w:trPr>
          <w:trHeight w:val="4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0E61" w:rsidRDefault="00CD0E61"/>
    <w:p w:rsidR="00CD0E61" w:rsidRDefault="00CD0E61"/>
    <w:p w:rsidR="00CD0E61" w:rsidRDefault="00CD0E61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578"/>
        <w:gridCol w:w="1778"/>
        <w:gridCol w:w="1576"/>
        <w:gridCol w:w="1655"/>
        <w:gridCol w:w="1206"/>
        <w:gridCol w:w="1206"/>
      </w:tblGrid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3/2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 Prihodi poslovanja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1.217.287,69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1.498.810,00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1.312.782,54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107,84%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87,59%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 Prihodi od prodaje nefinancijske imovine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UKUPNI PRIHODI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1.217.287,69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1.498.810,00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1.312.782,54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107,84%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87,59%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Rashodi poslovanja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1.206.302,49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1.467.600,00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1.386.784,28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114,96%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94,49%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 Rashodi za nabavu nefinancijske imovine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14.419,75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33.900,00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33.119,40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229,68%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97,70%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UKUPNI RASHODI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1.220.722,24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1.501.500,00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1.419.903,68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116,32%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VIŠAK / MANJAK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-3.434,55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-2.690,00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-107.121,14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3118,93%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3982,20%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B. RAČUN ZADUŽIVANJA / FINANCIRANJA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 Primici od financijske imovine i zaduživanja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 Izdaci za financijsku imovinu i otplate zajmova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NETO ZADUŽIVANJE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PRIJENOS SREDSTAVA IZ PRETHODNE GODINE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-14.520,12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-17.954,67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123,65%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PRIJENOS SREDSTAVA U SLJEDEĆE RAZDOBLJE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-17.954,67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2.690,00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-125.075,81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696,62%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VIŠAK / MANJAK + NETO ZADUŽIVANJE / FINANCIRANJE + KORIŠTENO U PRETHODNIM GODINAMA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REZULTAT GODINE</w:t>
            </w:r>
          </w:p>
        </w:tc>
        <w:tc>
          <w:tcPr>
            <w:tcW w:w="1779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-17.954,67</w:t>
            </w:r>
          </w:p>
        </w:tc>
        <w:tc>
          <w:tcPr>
            <w:tcW w:w="1577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-125.075,81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696,62%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6585" w:type="dxa"/>
            <w:noWrap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noWrap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7" w:type="dxa"/>
            <w:noWrap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noWrap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noWrap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noWrap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D0E61" w:rsidRDefault="00CD0E61"/>
    <w:p w:rsidR="00CD0E61" w:rsidRDefault="00CD0E61"/>
    <w:p w:rsidR="00CD0E61" w:rsidRDefault="000E4CE2">
      <w:pPr>
        <w:pStyle w:val="Odlomakpopisa"/>
        <w:numPr>
          <w:ilvl w:val="1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Račun prihoda i rashoda</w:t>
      </w:r>
    </w:p>
    <w:p w:rsidR="00CD0E61" w:rsidRDefault="00CD0E61">
      <w:pPr>
        <w:rPr>
          <w:rFonts w:ascii="Arial" w:hAnsi="Arial" w:cs="Arial"/>
          <w:b/>
          <w:sz w:val="22"/>
          <w:szCs w:val="22"/>
        </w:rPr>
      </w:pPr>
    </w:p>
    <w:p w:rsidR="00CD0E61" w:rsidRDefault="00CD0E61">
      <w:pPr>
        <w:rPr>
          <w:rFonts w:ascii="Arial" w:hAnsi="Arial" w:cs="Arial"/>
          <w:b/>
          <w:sz w:val="22"/>
          <w:szCs w:val="22"/>
        </w:rPr>
      </w:pPr>
    </w:p>
    <w:p w:rsidR="00CD0E61" w:rsidRDefault="00CD0E61">
      <w:pPr>
        <w:rPr>
          <w:rFonts w:ascii="Arial" w:hAnsi="Arial" w:cs="Arial"/>
          <w:b/>
          <w:sz w:val="22"/>
          <w:szCs w:val="22"/>
        </w:rPr>
      </w:pPr>
    </w:p>
    <w:p w:rsidR="00CD0E61" w:rsidRDefault="000E4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1.2.1.Račun prihoda i rashoda prema ekonomskoj klasifikaciji  </w:t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639"/>
        <w:gridCol w:w="1861"/>
        <w:gridCol w:w="1626"/>
        <w:gridCol w:w="1501"/>
        <w:gridCol w:w="1207"/>
        <w:gridCol w:w="1165"/>
      </w:tblGrid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3/2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Prihodi poslovanja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1.217.287,69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1.498.810,00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1.312.782,54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107,84%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87,59%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 Pomoći iz inozemstva i od subjekata unutar općeg proračuna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1.082.428,99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1.317.250,00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1.162.904,78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107,43%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88,28%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636 Pomoći proračunskim korisnicima iz proračuna koji im nije nadležan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1.082.428,99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1.162.904,78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107,43%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6361 Tekuće pomoći proračunskim korisnicima iz proračuna koji im nije nadležan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1.071.848,30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1.152.513,08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107,53%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6362 Kapitalne pomoći proračunskim korisnicima iz proračuna koji im nije nadležan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10.580,69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10.391,70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98,21%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 Prihodi od imovine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15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 Prihodi od upravnih i administrativnih pristojbi, pristojbi po posebnim propisima i naknada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3.385,00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1.452,00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1.452,00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42,90%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 Prihodi po posebnim propisima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3.385,00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1.452,00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42,90%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6526 Ostali nespomenuti prihodi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3.385,00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1.452,00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42,90%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 Prihodi od prodaje proizvoda i robe te pruženih usluga, prihodi od donacija te povrati po protestira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395,00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288,56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73,05%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 Prihodi od prodaje proizvoda i robe te pruženih usluga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288,56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6614 Prihodi od prodaje proizvoda i robe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288,56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 Prihodi iz nadležnog proračuna i od HZZO-a temeljem ugovornih obveza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131.473,70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179.708,00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148.137,20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112,67%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82,43%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671 Prihodi iz nadležnog proračuna za financiranje redovne djelatnosti proračunskih korisnika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131.473,70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148.137,20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112,67%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6711 Prihodi iz nadležnog proračuna za financiranje rashoda poslovanja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127.634,64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144.330,92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113,08%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6712 Prihodi iz nadležnog proračuna za financiranje rashoda za nabavu nefinancijske imovine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3.839,06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3.806,28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99,15%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 Rashodi poslovanja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1.206.302,49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1.467.600,00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1.386.784,28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114,96%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94,49%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 Rashodi za zaposlene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1.013.753,76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1.260.764,00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1.208.215,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119,18%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95,83%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 Plaće (Bruto)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832.161,64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996.287,14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119,72%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3111 Plaće za redovan rad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832.161,64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995.801,84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119,66%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3113 Plaće za prekovremeni rad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485,30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 Ostali rashodi za zaposlene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43.762,63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46.808,04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106,96%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3121 Ostali rashodi za zaposlene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43.762,63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46.808,04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106,96%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 Doprinosi na plaće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137.829,49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165.120,22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119,80%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 Doprinosi za obvezno zdravstveno osiguranje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137.812,88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165.120,22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119,81%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3133 Doprinosi za obvezno zdravstveno osiguranje u slučaju nezaposlenosti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16,61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 Materijalni rashodi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159.316,23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169.910,00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141.532,81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88,84%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83,30%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 Naknade troškova zaposlenima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17.389,87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20.800,00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119,61%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3211 Službena putovanja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3.323,80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4.972,26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149,60%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13.310,22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14.754,99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110,85%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3213 Stručno usavršavanje zaposlenika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433,25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861,25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198,79%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3214 Ostale naknade troškova zaposlenima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322,60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211,50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65,56%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 Rashodi za materijal i energiju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106.112,01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85.775,18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80,83%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9.113,47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10.855,78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119,12%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3222 Materijal i sirovine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78.672,54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64.511,63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3223 Energija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16.168,68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7.212,66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44,61%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3224 Materijal i dijelovi za tekuće i investicijsko održavanje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1.291,94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1.006,03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77,87%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3225 Sitni inventar i autogume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1.951,28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302,52%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3227 Službena, radna i zaštitna odjeća i obuća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220,38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237,80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107,90%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 Rashodi za usluge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30.692,36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29.901,13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97,42%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3231 Usluge telefona, interneta, pošte i prijevoza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5.002,06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4.032,19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80,61%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3232 Usluge tekućeg i investicijskog  održavanja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11.271,82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11.127,90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98,72%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3233 Usluge promidžbe i informiranja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3234 Komunalne usluge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4.972,40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4.535,49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91,21%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3236 Zdravstvene i veterinarske usluge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2.723,63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2.229,78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81,87%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3238 Računalne usluge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4.396,35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3.796,76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86,36%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3239 Ostale usluge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2.326,10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3.399,01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146,12%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 Ostali nespomenuti rashodi poslovanja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5.121,99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5.056,50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98,72%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3291 Naknade za rad predstavničkih i izvršnih tijela, povjerenstava i slično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3294 Članarine i norme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188,09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116,97%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3295 Pristojbe i naknade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2.054,35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3.272,00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159,27%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3296 Troškovi sudskih postupaka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1.010,55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3299 Ostali nespomenuti rashodi poslovanja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1.819,00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1.494,50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82,16%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 Financijski rashodi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954,94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245,00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217,81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22,81%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88,90%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 Ostali financijski rashodi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954,94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217,81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22,81%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3431 Bankarske usluge i usluge platnog prometa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441,87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217,81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49,29%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3433 Zatezne kamate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513,07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 Naknade građanima i kućanstvima na temelju osiguranja i druge naknade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31.539,56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34.680,00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35.083,26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111,24%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101,16%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 Ostale naknade građanima i kućanstvima iz proračuna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31.539,56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35.083,26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111,24%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3722 Naknade građanima i kućanstvima u naravi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31.539,56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35.083,26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111,24%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 Rashodi za donacije, kazne, naknade šteta i kapitalne pomoći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738,00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2.001,00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1.735,00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235,09%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86,71%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 Tekuće donacije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1.735,00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235,09%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3811 Tekuće donacije u novcu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997,00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3812 Tekuće donacije u naravi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Rashodi za nabavu nefinancijske imovine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14.419,75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33.900,00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33.119,40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229,68%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97,70%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14.419,75</w:t>
            </w:r>
          </w:p>
        </w:tc>
        <w:tc>
          <w:tcPr>
            <w:tcW w:w="162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33.900,00</w:t>
            </w: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33.119,40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229,68%</w:t>
            </w:r>
          </w:p>
        </w:tc>
        <w:tc>
          <w:tcPr>
            <w:tcW w:w="1165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97,70%</w:t>
            </w: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 Postrojenja i oprema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3.199,06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21.996,91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687,61%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4221 Uredska oprema i namještaj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1.000,78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20.234,41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2021,86%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4223 Oprema za održavanje i zaštitu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1.346,28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4227 Uređaji, strojevi i oprema za ostale namjene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852,00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1.762,50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206,87%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 Knjige, umjetnička djela i ostale izložbene vrijednosti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11.220,69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11.122,49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99,12%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4241 Knjige</w:t>
            </w:r>
          </w:p>
        </w:tc>
        <w:tc>
          <w:tcPr>
            <w:tcW w:w="186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11.220,69</w:t>
            </w: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11.122,49</w:t>
            </w:r>
          </w:p>
        </w:tc>
        <w:tc>
          <w:tcPr>
            <w:tcW w:w="1206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99,12%</w:t>
            </w: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6641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6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0E4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1.2.2. Prihodi i rashodi prema izvorima financiranja</w:t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993"/>
        <w:gridCol w:w="1564"/>
        <w:gridCol w:w="1532"/>
        <w:gridCol w:w="1627"/>
        <w:gridCol w:w="1081"/>
        <w:gridCol w:w="1202"/>
      </w:tblGrid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3/2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PRIHODI I RASHODI PREMA IZVORIMA FINANCIRANJA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SVEUKUPNI PRIHODI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1.217.287,69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1.498.810,00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1.312.782,54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107,84%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87,59%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131.473,70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110.813,00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84.261,60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64,09%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76,04%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131.473,70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110.813,00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84.261,60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64,09%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76,04%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3. VLASTITI PRIHODI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78,56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1571,20%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3.1. OSTALI VLASTITI PRIHODI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78,56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1571,20%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4. PRIHODI ZA POSEBNE NAMJENE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3.385,00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1.697,00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1.662,00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49,10%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97,94%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4.3. OSTALI NAMJENSKI PRIHODI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3.385,00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1.697,00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1.662,00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49,10%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97,94%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1.082.428,99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1.386.145,00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1.226.780,38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113,34%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88,50%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5.2. POMOĆI TEMELJEM PRIJENOSA EU SREDSTAVA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68.895,00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63.875,60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92,71%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5.3. POMOĆI IZ DRŽAVNOG PRORAČUNA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1.082.378,99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1.316.924,00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1.162.834,78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107,43%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88,30%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5.4. POMOĆI IZ ŽUPANIJSKOG PRORAČUNA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326,00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21,47%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6. DONACIJE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6.1. DONACIJE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SVEUKUPNI RASHODI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1.220.722,24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1.501.500,00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1.419.903,68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116,32%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134.267,09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110.813,00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105.290,23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78,42%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95,02%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134.267,09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110.813,00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105.290,23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78,42%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95,02%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3. VLASTITI PRIHODI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21,53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430,60%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3.1. OSTALI VLASTITI PRIHODI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21,53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430,60%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4. PRIHODI ZA POSEBNE NAMJENE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3.385,00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1.697,00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1.452,00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42,90%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85,56%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4.3. OSTALI NAMJENSKI PRIHODI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3.385,00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1.697,00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1.452,00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42,90%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85,56%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1.081.734,72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1.386.145,00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1.312.776,98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121,36%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94,71%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5.2. POMOĆI TEMELJEM PRIJENOSA EU SREDSTAVA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68.895,00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62.640,52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90,92%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5.3. POMOĆI IZ DRŽAVNOG PRORAČUNA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1.081.684,72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1.316.924,00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1.250.066,46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115,57%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94,92%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5.4. POMOĆI IZ ŽUPANIJSKOG PRORAČUNA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326,00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21,47%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6. DONACIJE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6.1. DONACIJE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 VIŠAK PRIHODA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1.335,43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2.690,00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362,94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27,18%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13,49%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9.3. VLASTITI PRIHODI -PRENESENI REZULTAT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82,94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25,13%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9.4. PRIHODI ZA POSEBNE NAMJENE-PRENESENI REZULTAT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276,42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1.500,00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101,30%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18,67%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9.5. POMOĆI -PRENESENI REZULTAT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1.059,01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702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 9.6. DONACIJE-PRENESENI REZULTAT</w:t>
            </w:r>
          </w:p>
        </w:tc>
        <w:tc>
          <w:tcPr>
            <w:tcW w:w="157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538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690,00</w:t>
            </w:r>
          </w:p>
        </w:tc>
        <w:tc>
          <w:tcPr>
            <w:tcW w:w="1634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1201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</w:tbl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0E4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1.2.3. Rashodi prema funkcijskoj klasifikaciji</w:t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756"/>
        <w:gridCol w:w="381"/>
        <w:gridCol w:w="381"/>
        <w:gridCol w:w="382"/>
        <w:gridCol w:w="382"/>
        <w:gridCol w:w="382"/>
        <w:gridCol w:w="1285"/>
        <w:gridCol w:w="382"/>
        <w:gridCol w:w="1285"/>
        <w:gridCol w:w="382"/>
        <w:gridCol w:w="1285"/>
        <w:gridCol w:w="382"/>
        <w:gridCol w:w="1285"/>
        <w:gridCol w:w="382"/>
        <w:gridCol w:w="1285"/>
        <w:gridCol w:w="382"/>
      </w:tblGrid>
      <w:tr w:rsidR="00CD0E61">
        <w:trPr>
          <w:trHeight w:val="255"/>
        </w:trPr>
        <w:tc>
          <w:tcPr>
            <w:tcW w:w="8260" w:type="dxa"/>
            <w:gridSpan w:val="6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Račun/Opis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Izvorni plan 2025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2025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3/1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3/2</w:t>
            </w:r>
          </w:p>
        </w:tc>
      </w:tr>
      <w:tr w:rsidR="00CD0E61">
        <w:trPr>
          <w:trHeight w:val="255"/>
        </w:trPr>
        <w:tc>
          <w:tcPr>
            <w:tcW w:w="8260" w:type="dxa"/>
            <w:gridSpan w:val="6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D0E61">
        <w:trPr>
          <w:trHeight w:val="255"/>
        </w:trPr>
        <w:tc>
          <w:tcPr>
            <w:tcW w:w="8260" w:type="dxa"/>
            <w:gridSpan w:val="6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Funkcijska klasifikacija  SVEUKUPNI RASHODI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1.220.722,24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1.501.500,00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1.419.903,68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116,32%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255"/>
        </w:trPr>
        <w:tc>
          <w:tcPr>
            <w:tcW w:w="8260" w:type="dxa"/>
            <w:gridSpan w:val="6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Funkcijska klasifikacija 09 Obrazovanje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1.220.722,24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1.501.500,00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1.419.903,68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116,32%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255"/>
        </w:trPr>
        <w:tc>
          <w:tcPr>
            <w:tcW w:w="8260" w:type="dxa"/>
            <w:gridSpan w:val="6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Funkcijska klasifikacija 091 Predškolsko i osnovno obrazovanje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1.220.722,24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1.501.500,00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1.419.903,68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116,32%</w:t>
            </w:r>
          </w:p>
        </w:tc>
        <w:tc>
          <w:tcPr>
            <w:tcW w:w="240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70"/>
        </w:trPr>
        <w:tc>
          <w:tcPr>
            <w:tcW w:w="586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0E4CE2">
      <w:pPr>
        <w:pStyle w:val="Odlomakpopisa"/>
        <w:numPr>
          <w:ilvl w:val="1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Račun financiranja</w:t>
      </w:r>
    </w:p>
    <w:p w:rsidR="00CD0E61" w:rsidRDefault="00CD0E61">
      <w:pPr>
        <w:rPr>
          <w:rFonts w:ascii="Arial" w:hAnsi="Arial" w:cs="Arial"/>
          <w:b/>
          <w:sz w:val="22"/>
          <w:szCs w:val="22"/>
        </w:rPr>
      </w:pPr>
    </w:p>
    <w:p w:rsidR="00CD0E61" w:rsidRDefault="000E4CE2">
      <w:pPr>
        <w:pStyle w:val="Odlomakpopisa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 financiranja prema ekonomskoj klasifikaciji</w:t>
      </w:r>
    </w:p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833"/>
        <w:gridCol w:w="1579"/>
        <w:gridCol w:w="1530"/>
        <w:gridCol w:w="1441"/>
        <w:gridCol w:w="1308"/>
        <w:gridCol w:w="1308"/>
      </w:tblGrid>
      <w:tr w:rsidR="00CD0E61">
        <w:trPr>
          <w:trHeight w:val="255"/>
        </w:trPr>
        <w:tc>
          <w:tcPr>
            <w:tcW w:w="6921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Racun/Opis</w:t>
            </w:r>
          </w:p>
        </w:tc>
        <w:tc>
          <w:tcPr>
            <w:tcW w:w="159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Izvršenje 2024</w:t>
            </w:r>
          </w:p>
        </w:tc>
        <w:tc>
          <w:tcPr>
            <w:tcW w:w="154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Izvorni plan 2025</w:t>
            </w:r>
          </w:p>
        </w:tc>
        <w:tc>
          <w:tcPr>
            <w:tcW w:w="1342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Izvršenje 2025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Indeks 3/1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Indeks 3/2</w:t>
            </w:r>
          </w:p>
        </w:tc>
      </w:tr>
      <w:tr w:rsidR="00CD0E61">
        <w:trPr>
          <w:trHeight w:val="255"/>
        </w:trPr>
        <w:tc>
          <w:tcPr>
            <w:tcW w:w="6921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B. RAČUN ZADUŽIVANJA FINANCIRANJA</w:t>
            </w:r>
          </w:p>
        </w:tc>
        <w:tc>
          <w:tcPr>
            <w:tcW w:w="159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4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42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CD0E61">
        <w:trPr>
          <w:trHeight w:val="255"/>
        </w:trPr>
        <w:tc>
          <w:tcPr>
            <w:tcW w:w="6921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NETO FINANCIRANJE</w:t>
            </w:r>
          </w:p>
        </w:tc>
        <w:tc>
          <w:tcPr>
            <w:tcW w:w="159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1.335,43</w:t>
            </w:r>
          </w:p>
        </w:tc>
        <w:tc>
          <w:tcPr>
            <w:tcW w:w="154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2.690,00</w:t>
            </w:r>
          </w:p>
        </w:tc>
        <w:tc>
          <w:tcPr>
            <w:tcW w:w="1342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362,94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27,18%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13,49%</w:t>
            </w:r>
          </w:p>
        </w:tc>
      </w:tr>
      <w:tr w:rsidR="00CD0E61">
        <w:trPr>
          <w:trHeight w:val="255"/>
        </w:trPr>
        <w:tc>
          <w:tcPr>
            <w:tcW w:w="6921" w:type="dxa"/>
            <w:noWrap/>
            <w:hideMark/>
          </w:tcPr>
          <w:p w:rsidR="00CD0E61" w:rsidRDefault="00CD0E61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97" w:type="dxa"/>
            <w:noWrap/>
            <w:hideMark/>
          </w:tcPr>
          <w:p w:rsidR="00CD0E61" w:rsidRDefault="00CD0E6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noWrap/>
            <w:hideMark/>
          </w:tcPr>
          <w:p w:rsidR="00CD0E61" w:rsidRDefault="00CD0E6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noWrap/>
            <w:hideMark/>
          </w:tcPr>
          <w:p w:rsidR="00CD0E61" w:rsidRDefault="00CD0E6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CD0E61">
        <w:trPr>
          <w:trHeight w:val="255"/>
        </w:trPr>
        <w:tc>
          <w:tcPr>
            <w:tcW w:w="6921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 Vlastiti izvori</w:t>
            </w:r>
          </w:p>
        </w:tc>
        <w:tc>
          <w:tcPr>
            <w:tcW w:w="159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1.335,43</w:t>
            </w:r>
          </w:p>
        </w:tc>
        <w:tc>
          <w:tcPr>
            <w:tcW w:w="154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2.690,00</w:t>
            </w:r>
          </w:p>
        </w:tc>
        <w:tc>
          <w:tcPr>
            <w:tcW w:w="1342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362,94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27,18%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13,49%</w:t>
            </w:r>
          </w:p>
        </w:tc>
      </w:tr>
      <w:tr w:rsidR="00CD0E61">
        <w:trPr>
          <w:trHeight w:val="255"/>
        </w:trPr>
        <w:tc>
          <w:tcPr>
            <w:tcW w:w="6921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92 Rezultat poslovanja</w:t>
            </w:r>
          </w:p>
        </w:tc>
        <w:tc>
          <w:tcPr>
            <w:tcW w:w="159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1.335,43</w:t>
            </w:r>
          </w:p>
        </w:tc>
        <w:tc>
          <w:tcPr>
            <w:tcW w:w="154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2.690,00</w:t>
            </w:r>
          </w:p>
        </w:tc>
        <w:tc>
          <w:tcPr>
            <w:tcW w:w="1342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362,94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27,18%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13,49%</w:t>
            </w:r>
          </w:p>
        </w:tc>
      </w:tr>
      <w:tr w:rsidR="00CD0E61">
        <w:trPr>
          <w:trHeight w:val="255"/>
        </w:trPr>
        <w:tc>
          <w:tcPr>
            <w:tcW w:w="6921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KORIŠTENJE SREDSTAVA IZ PRETHODNIH GODINA</w:t>
            </w:r>
          </w:p>
        </w:tc>
        <w:tc>
          <w:tcPr>
            <w:tcW w:w="159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1.335,43</w:t>
            </w:r>
          </w:p>
        </w:tc>
        <w:tc>
          <w:tcPr>
            <w:tcW w:w="1547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2.690,00</w:t>
            </w:r>
          </w:p>
        </w:tc>
        <w:tc>
          <w:tcPr>
            <w:tcW w:w="1342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362,94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27,18%</w:t>
            </w:r>
          </w:p>
        </w:tc>
        <w:tc>
          <w:tcPr>
            <w:tcW w:w="1296" w:type="dxa"/>
            <w:noWrap/>
            <w:hideMark/>
          </w:tcPr>
          <w:p w:rsidR="00CD0E61" w:rsidRDefault="000E4C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13,49%</w:t>
            </w:r>
          </w:p>
        </w:tc>
      </w:tr>
    </w:tbl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p w:rsidR="00CD0E61" w:rsidRDefault="000E4CE2">
      <w:pPr>
        <w:pStyle w:val="Odlomakpopisa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 financiranja prema izvorima</w:t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7894"/>
        <w:gridCol w:w="1221"/>
        <w:gridCol w:w="1221"/>
        <w:gridCol w:w="1221"/>
        <w:gridCol w:w="1221"/>
        <w:gridCol w:w="1221"/>
      </w:tblGrid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 3/2</w:t>
            </w:r>
          </w:p>
        </w:tc>
      </w:tr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B. RAČUN ZADUŽIVANJA FINANCIRANJA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KORIŠTENJE SREDSTAVA IZ PRETHODNIH GODINA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1.334,43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2.690,00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362,94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27,20%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13,49%</w:t>
            </w:r>
          </w:p>
        </w:tc>
      </w:tr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 VIŠAK PRIHODA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1.335,43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2.690,00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362,94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27,18%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13,49%</w:t>
            </w:r>
          </w:p>
        </w:tc>
      </w:tr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9.3. VLASTITI PRIHODI 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82,94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25,13%</w:t>
            </w:r>
          </w:p>
        </w:tc>
      </w:tr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9.4. PRIHODI ZA POSEBNE NAMJENE-PRENESENI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276,42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1.500,00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101,30%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18,67%</w:t>
            </w:r>
          </w:p>
        </w:tc>
      </w:tr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9.5. POMOĆI 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1.059,01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169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9.6. DONACIJE-PRENESENI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0,00%</w:t>
            </w:r>
          </w:p>
        </w:tc>
      </w:tr>
    </w:tbl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0E4CE2">
      <w:pPr>
        <w:pStyle w:val="Odlomakpopisa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POSEBNI DIO</w:t>
      </w:r>
    </w:p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p w:rsidR="00CD0E61" w:rsidRDefault="000E4CE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dio sadrži izvršenje rashoda i izdataka iskazanih prema organizacijskoj i programskoj klasifikaciji:</w:t>
      </w:r>
    </w:p>
    <w:p w:rsidR="00CD0E61" w:rsidRDefault="00CD0E61">
      <w:pPr>
        <w:ind w:left="360"/>
        <w:rPr>
          <w:rFonts w:ascii="Arial" w:hAnsi="Arial" w:cs="Arial"/>
          <w:sz w:val="22"/>
          <w:szCs w:val="22"/>
        </w:rPr>
      </w:pPr>
    </w:p>
    <w:p w:rsidR="00CD0E61" w:rsidRDefault="000E4CE2">
      <w:pPr>
        <w:pStyle w:val="Odlomakpopisa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Izvršenje prema organizacijskoj klasifikaciji </w:t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0E4CE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9225280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1544" y="21459"/>
                <wp:lineTo x="21544" y="0"/>
                <wp:lineTo x="0" y="0"/>
              </wp:wrapPolygon>
            </wp:wrapThrough>
            <wp:docPr id="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28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0E4CE2">
      <w:pPr>
        <w:pStyle w:val="Odlomakpopisa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Izvršenje prema programskoj klasifikaciji</w:t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643"/>
        <w:gridCol w:w="5471"/>
        <w:gridCol w:w="1956"/>
        <w:gridCol w:w="1643"/>
        <w:gridCol w:w="1643"/>
        <w:gridCol w:w="1643"/>
      </w:tblGrid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Organizacijska klasifikacija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Projekt/Aktivnost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VRSTA RASHODA I IZDATAKA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Izvorni plan 2025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2025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 2/1</w:t>
            </w:r>
          </w:p>
        </w:tc>
      </w:tr>
      <w:tr w:rsidR="00CD0E61">
        <w:trPr>
          <w:trHeight w:val="255"/>
        </w:trPr>
        <w:tc>
          <w:tcPr>
            <w:tcW w:w="13540" w:type="dxa"/>
            <w:gridSpan w:val="3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 RASHODI I IZDATCI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1.501.500,00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1.419.903,68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RAZDJEL 103 UPRAVNI ODJEL ZA DRUŠTVENE DJELATNOSTI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1.501.500,00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1.419.903,68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GLAVA 10301 ODSJEK ZA ODGOJ, OBRAZOVANJE, ZNANOST I TEHNIČKU KULTURU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1.501.500,00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1.419.903,68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94,57%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Program: DECENTRALIZIRANE FUNKCIJE - MINIMALNI FINANCIJSKI STANDARD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68.329,00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68.325,34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A320001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REDOVNA PROGRAMSKA DJELATNOST OSNOVNIH ŠKOLA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46.329,00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46.328,43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46.329,00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46.328,43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46.329,00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46.328,43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46.089,00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46.110,62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100,05%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Službena putovanja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4.741,50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3213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Stručno usavršavanje zaposlenika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861,25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Ostale naknade troškova zaposlenima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211,50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8.707,29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Materijal i sirovine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3223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Energija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7.212,66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1.006,03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3225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Sitni inventar i autogume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1.951,28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3227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237,80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1.518,19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Usluge tekućeg i investicijskog  održavanja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5.236,38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3233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Usluge promidžbe i informiranja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Komunalne usluge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4.535,49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3236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Zdravstvene i veterinarske usluge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2.229,78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3238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Računalne usluge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1.478,96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3239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Ostale usluge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3.399,01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Članarine i norme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3299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nespomenuti rashodi poslovanja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1.494,50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Financijski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217,81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90,75%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Bankarske usluge i usluge platnog prometa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217,81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K320001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Kapitalni projekt: KAPITALNA ULAGANJA U OPREMU - DECENTRALIZIRANA SREDSTVA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21.996,91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21.996,91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21.996,91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21.996,91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Uredska oprema i namještaj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20.234,41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4227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1.762,50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3201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Program: ŠIRE JAVNE POTREBE - IZNAD MINIMALNOG STANDARDA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226.469,00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189.472,28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83,66%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A320102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IZVANNASTAVNE I IZVANŠKOLSKE AKTIVNOSTI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8.103,00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5.743,49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70,88%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1.074,00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1.071,64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99,78%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1.074,00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1.071,64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99,78%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1.074,00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1.071,64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99,78%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663,64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3. VLASTITI PRIHODI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21,53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430,60%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3.1. OSTALI VLASTITI PRIHODI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21,53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430,60%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21,53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21,53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Financijski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4. PRIHODI ZA POSEBNE NAMJENE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1.697,00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1.452,00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85,56%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4.3. OSTALI NAMJENSKI PRIHODI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1.697,00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1.452,00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85,56%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1.697,00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1.452,00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85,56%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1.452,00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3.411,00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2.918,32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85,56%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5.3. POMOĆI IZ DRŽAVNOG PRORAČUNA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3.185,00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2.918,32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91,63%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1.464,00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1.463,32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99,95%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1.463,32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donacije, kazne, naknade šteta i kapitalne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1.721,00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1.455,00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84,54%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Tekuće donacije u novcu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717,00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Tekuće donacije u naravi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5.4. POMOĆI IZ ŽUPANIJSKOG PRORAČUNA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 VIŠAK PRIHODA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1.916,00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14,61%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9.3. VLASTITI PRIHODI 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217,00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217,00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9.4. PRIHODI ZA POSEBNE NAMJENE-PRENESENI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1.499,00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18,68%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1.219,00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donacije, kazne, naknade šteta i kapitalne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Tekuće donacije u novcu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9.5. POMOĆI 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9.6. DONACIJE-PRENESENI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A320103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MANIFESTACIJE ODGOJA I ŠKOLSTVA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A320104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NABAVKA UDŽBENIKA I PRIBORA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44.500,00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44.904,96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100,91%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19.830,00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19.966,14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100,69%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19.830,00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19.966,14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100,69%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Naknade građanima i kućanstvima na temelju osiguranja i druge naknade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19.830,00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19.966,14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100,69%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Naknade građanima i kućanstvima u naravi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19.966,14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24.670,00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24.938,82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101,09%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5.3. POMOĆI IZ DRŽAVNOG PRORAČUNA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24.670,00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24.938,82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101,09%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Naknade građanima i kućanstvima na temelju osiguranja i druge naknade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14.850,00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15.117,12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101,80%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Naknade građanima i kućanstvima u naravi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15.117,12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9.820,00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9.821,70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100,02%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9.821,70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A320105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PROMETNI ODGOJ I SIGURNOST U PROMETU - POLIGON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A320111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HITNE INTERVENCIJE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5.891,52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98,19%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5.891,52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98,19%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5.891,52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98,19%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5.891,52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98,19%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Usluge tekućeg i investicijskog  održavanja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5.891,52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A320113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PROJEKT E ŠKOLE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2.930,00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2.317,80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79,11%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2.930,00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2.317,80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79,11%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2.930,00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2.317,80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79,11%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2.930,00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2.317,80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79,11%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3238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Računalne usluge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2.317,80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A320114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VLASTITA I NAMJENSKA SREDSTVA OSNOVNIH ŠKOLA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 VIŠAK PRIHODA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9.3. VLASTITI PRIHODI 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9.4. PRIHODI ZA POSEBNE NAMJENE-PRENESENI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T320107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Tekući projekt: PREHRANA UČENIKA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89.641,00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64.222,63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71,64%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5.641,00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1.641,13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29,09%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5.641,00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1.641,13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29,09%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5.641,00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1.641,13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29,09%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Materijal i sirovine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1.641,13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62.581,50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74,50%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5.3. POMOĆI IZ DRŽAVNOG PRORAČUNA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62.581,50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74,50%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84.000,00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62.581,50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74,50%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Materijal i sirovine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62.581,50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T320112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Tekući projekt: EU PROJEKT "S POMOĆNIKOM MOGU BOLJE 7"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74.460,00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65.737,88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88,29%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5.565,00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3.097,36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55,66%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5.565,00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3.097,36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55,66%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5.350,00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3.008,27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56,23%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Plaće za redovan rad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1.638,00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1.100,00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Doprinosi za obvezno zdravstveno osiguranje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270,27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89,09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41,44%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89,09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68.895,00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62.640,52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90,92%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5.2. POMOĆI TEMELJEM PRIJENOSA EU SREDSTAVA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68.895,00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62.640,52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90,92%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66.845,00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61.136,86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91,46%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Plaće za redovan rad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49.130,27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3.900,00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Doprinosi za obvezno zdravstveno osiguranje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8.106,59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2.050,00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1.503,66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73,35%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Službena putovanja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147,82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1.355,84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3202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Program: KAPITALNA ULAGANJA NA OBJEKTIMA OŠ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2.050,00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1.300,79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63,45%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K320250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Kapitalni projekt: NABAVKA ŠKOLSKE LEKTIRE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2.050,00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1.300,79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63,45%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660,79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110,13%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5.3. POMOĆI IZ DRŽAVNOG PRORAČUNA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660,79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110,13%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660,79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110,13%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660,79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6. DONACIJE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6.1. DONACIJE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 VIŠAK PRIHODA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9.6. DONACIJE-PRENESENI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3203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Program: RASHODI ZA ZAPOSLENE U OŠ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1.204.652,00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1.160.805,27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96,36%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A320301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Aktivnost: RASHODI ZA ZAPOSLENE U OŠ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1.204.652,00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1.160.805,27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96,36%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1.685,30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1.685,30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1.685,30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3113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Plaće za prekovremeni rad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485,30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1.200,00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1.204.569,00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1.159.037,03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96,22%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5.3. POMOĆI IZ DRŽAVNOG PRORAČUNA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1.204.469,00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1.158.967,03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96,22%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1.188.569,00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1.142.384,97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96,11%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Plaće za redovan rad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945.033,57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rashodi za zaposlene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40.608,04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Doprinosi za obvezno zdravstveno osiguranje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156.743,36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15.900,00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16.582,06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104,29%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13.310,06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3295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Pristojbe i naknade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3.272,00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5.4. POMOĆI IZ ŽUPANIJSKOG PRORAČUNA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70,00%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 VIŠAK PRIHODA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82,94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40" w:type="dxa"/>
            <w:gridSpan w:val="2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Izvor 9.3. VLASTITI PRIHODI -PRENESENI REZULTAT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82,94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83,00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82,94</w:t>
            </w: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99,93%</w:t>
            </w:r>
          </w:p>
        </w:tc>
      </w:tr>
      <w:tr w:rsidR="00CD0E61">
        <w:trPr>
          <w:trHeight w:val="255"/>
        </w:trPr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6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3211</w:t>
            </w:r>
          </w:p>
        </w:tc>
        <w:tc>
          <w:tcPr>
            <w:tcW w:w="288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Službena putovanja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/>
            <w:hideMark/>
          </w:tcPr>
          <w:p w:rsidR="00CD0E61" w:rsidRDefault="000E4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82,94</w:t>
            </w:r>
          </w:p>
        </w:tc>
        <w:tc>
          <w:tcPr>
            <w:tcW w:w="2400" w:type="dxa"/>
            <w:noWrap/>
            <w:hideMark/>
          </w:tcPr>
          <w:p w:rsidR="00CD0E61" w:rsidRDefault="00CD0E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CD0E61">
      <w:pPr>
        <w:rPr>
          <w:rFonts w:ascii="Arial" w:hAnsi="Arial" w:cs="Arial"/>
          <w:sz w:val="22"/>
          <w:szCs w:val="22"/>
        </w:rPr>
      </w:pPr>
    </w:p>
    <w:p w:rsidR="00CD0E61" w:rsidRDefault="000E4C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3.1.OBRAZLOŽENJE OPĆEG DIJELA  GODIŠNJEG IZVJEŠTAJA O  IZVRŠENJU FINANCIJSKOG PLANA</w:t>
      </w:r>
    </w:p>
    <w:p w:rsidR="00CD0E61" w:rsidRDefault="00CD0E6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Općem dijelu odnosno u Sažetku računa prihoda i rashoda vidljivo je da su se prihodi povećali u odnosu na isto razdoblje lani za 7,84 %, a rashodi za 16,32 %. Razlozi tome su uz inflaciju i povećanje cijena energenata,  </w:t>
      </w:r>
      <w:bookmarkStart w:id="1" w:name="_Hlk203672058"/>
      <w:r>
        <w:rPr>
          <w:rFonts w:ascii="Arial" w:hAnsi="Arial" w:cs="Arial"/>
          <w:sz w:val="22"/>
          <w:szCs w:val="22"/>
        </w:rPr>
        <w:t>povećanje broja Pomoćnika EU, učen</w:t>
      </w:r>
      <w:r>
        <w:rPr>
          <w:rFonts w:ascii="Arial" w:hAnsi="Arial" w:cs="Arial"/>
          <w:sz w:val="22"/>
          <w:szCs w:val="22"/>
        </w:rPr>
        <w:t>ičke marende, povećanje osnovice za plaće od MZOM-a, povećanje naknade zbog nezapošljavanja invalida, povećanje minimalne plaće</w:t>
      </w:r>
      <w:bookmarkEnd w:id="1"/>
      <w:r>
        <w:rPr>
          <w:rFonts w:ascii="Arial" w:hAnsi="Arial" w:cs="Arial"/>
          <w:sz w:val="22"/>
          <w:szCs w:val="22"/>
        </w:rPr>
        <w:t>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Manjak koji se prenosi u iduće razdoblje je bitno veći negoli što je bio lani, a razlog je to što od ove godine nema više konti</w:t>
      </w:r>
      <w:r>
        <w:rPr>
          <w:rFonts w:ascii="Arial" w:hAnsi="Arial" w:cs="Arial"/>
          <w:sz w:val="22"/>
          <w:szCs w:val="22"/>
        </w:rPr>
        <w:t>nuiranih rashoda budući razdoblja, te u ovih dvanaest mjeseci imamo iskazane rashode za trinaest plaća ( 12/2024, 01/2025, 02/2025, 03/2025, 04/2025, 05/2025, 06/2025, 07/2025,08/2025,09/2025,10/2025,11/2025 i 12/2025). Što znači da je ovaj manjak metodolo</w:t>
      </w:r>
      <w:r>
        <w:rPr>
          <w:rFonts w:ascii="Arial" w:hAnsi="Arial" w:cs="Arial"/>
          <w:sz w:val="22"/>
          <w:szCs w:val="22"/>
        </w:rPr>
        <w:t>ški te se odnosi na plaće koje će biti isplaćene u siječnju 2026. te ostale tekuće troškove.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 su se prihodi u odnosu na plan realizirali oko 87,59 %,  rashodi su se realizirali oko 94,57 %, što je dobro jer znači da se nije potrošilo više sredstava od o</w:t>
      </w:r>
      <w:r>
        <w:rPr>
          <w:rFonts w:ascii="Arial" w:hAnsi="Arial" w:cs="Arial"/>
          <w:sz w:val="22"/>
          <w:szCs w:val="22"/>
        </w:rPr>
        <w:t>nog što je bilo planirano.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Promatrajući izvršenje prihoda prema izvorima financiranja onda se da primijetiti da su se Opći prihodi (izvor 1.1.1.) smanjili  u odnosu na lani za 51,33  %, a u odnosu na plan  je izvršeno  87,01 % od plana, a jedan od razloga </w:t>
      </w:r>
      <w:r>
        <w:rPr>
          <w:rFonts w:ascii="Arial" w:hAnsi="Arial" w:cs="Arial"/>
          <w:sz w:val="22"/>
          <w:szCs w:val="22"/>
        </w:rPr>
        <w:t xml:space="preserve">tome je što je od ove godine projekt „S pomoćnikom mogu bolje 7“ iskazan pod posebnim izvorom 5.2.2. Pomoći temeljem prijenosa EU sredstava. 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Također smo imali  smanjenje rashoda za 43,60 % po projektu e-škole, a razlog je taj što smo prekinuli suradnju sa</w:t>
      </w:r>
      <w:r>
        <w:rPr>
          <w:rFonts w:ascii="Arial" w:hAnsi="Arial" w:cs="Arial"/>
          <w:sz w:val="22"/>
          <w:szCs w:val="22"/>
        </w:rPr>
        <w:t xml:space="preserve"> firmom koja nam je obavljala informatičke usluge iz tog projekta.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Projekt prehrane učenika je u odnosu na prošlu godinu manji za 76,62 %, a u odnosu na plan manji je za 70,91 % zbog toga što smo u travnju 2025. sklopili ugovor sa Babić pekarom i od tada </w:t>
      </w:r>
      <w:r>
        <w:rPr>
          <w:rFonts w:ascii="Arial" w:hAnsi="Arial" w:cs="Arial"/>
          <w:sz w:val="22"/>
          <w:szCs w:val="22"/>
        </w:rPr>
        <w:t>nam je marenda po učeniku oko 1,10 €, a što je manje od iznosa koji financira MZOM, tako da više nije bilo potrebe za financiranjem prehrane od strane osnivača.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izvorom 1.1.1. smo imali neplanirane troškove kao što su prekovremeni rad i nagrada za radn</w:t>
      </w:r>
      <w:r>
        <w:rPr>
          <w:rFonts w:ascii="Arial" w:hAnsi="Arial" w:cs="Arial"/>
          <w:sz w:val="22"/>
          <w:szCs w:val="22"/>
        </w:rPr>
        <w:t>e rezultate djelatniku. Neplanirani su zato što su odobreni nakon zadnjeg rebalansa u 2025. godini.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za decentralizirane funkcije (izvor 1.1.2.) su veći za 23,03 % u odnosu na isto razdoblje lani. Razlog je taj što nam je osnivač povećao iznos za de</w:t>
      </w:r>
      <w:r>
        <w:rPr>
          <w:rFonts w:ascii="Arial" w:hAnsi="Arial" w:cs="Arial"/>
          <w:sz w:val="22"/>
          <w:szCs w:val="22"/>
        </w:rPr>
        <w:t xml:space="preserve">centralizirane funkcije. A u odnosu na plan do sada je iskorišteno 99,99 % sredstava. 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Kako je škola u fazi obnove i dogradnje te nam je ugrađen novi sistem grijanja i hlađenja, pitali smo osnivača je li možemo sredstva predviđena za lož ulje (koje više ne</w:t>
      </w:r>
      <w:r>
        <w:rPr>
          <w:rFonts w:ascii="Arial" w:hAnsi="Arial" w:cs="Arial"/>
          <w:sz w:val="22"/>
          <w:szCs w:val="22"/>
        </w:rPr>
        <w:t>ćemo koristiti) utrošiti na projekt Kapitalnih ulaganja u opremu. Grad nam je to odobrio tako da smo ta sredstva utrošili na opremu, računala, računalnu opremu i uredski namještaj.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Vlastiti prihodi (izvor 3.1.1.) su prihodi ostvareni od uplate Hep-a za pro</w:t>
      </w:r>
      <w:r>
        <w:rPr>
          <w:rFonts w:ascii="Arial" w:hAnsi="Arial" w:cs="Arial"/>
          <w:sz w:val="22"/>
          <w:szCs w:val="22"/>
        </w:rPr>
        <w:t>izvodnju   viška električne energije u 2024. godini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za posebne namjene su u odnosu na isto razdoblje lani manji za 50,90 %, a to je zbog toga što smo prešli na punu riznicu 14.7.2025. te više nismo mogli primati uplate od roditelja za izlete i za o</w:t>
      </w:r>
      <w:r>
        <w:rPr>
          <w:rFonts w:ascii="Arial" w:hAnsi="Arial" w:cs="Arial"/>
          <w:sz w:val="22"/>
          <w:szCs w:val="22"/>
        </w:rPr>
        <w:t>siguranje učenika, već su roditelji to direktno uplaćivali prijevoznicima i osiguravajućoj kući. A u odnosu na plan 2025.  je realizirano 97,94 % od planiranog iznosa.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Pomoći temeljem prijenosa EU sredstava (izvor 5.2.2.) – projekt S pomoćnikom mogu bolje </w:t>
      </w:r>
      <w:r>
        <w:rPr>
          <w:rFonts w:ascii="Arial" w:hAnsi="Arial" w:cs="Arial"/>
          <w:sz w:val="22"/>
          <w:szCs w:val="22"/>
        </w:rPr>
        <w:t>EU 7  u prethodnoj 2024. godini nije postojao, a u 2025. godini je realizirano 92,71 % prihoda.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iz državnog proračuna su veće za 7,43</w:t>
      </w:r>
      <w:r>
        <w:rPr>
          <w:rFonts w:ascii="Arial" w:hAnsi="Arial" w:cs="Arial"/>
          <w:sz w:val="22"/>
          <w:szCs w:val="22"/>
        </w:rPr>
        <w:t xml:space="preserve"> % u odnosu na isto razdoblje lani , a razlog tome su učeničke marende, povećanje osnovice za plaće od MZOM-a, povećanje naknade zbog nezapošljavanja invalida, povećanje minimalne plaće  , a u odnosu na plan ove godine uprihodili smo 11,70 % manje.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Pomoći </w:t>
      </w:r>
      <w:r>
        <w:rPr>
          <w:rFonts w:ascii="Arial" w:hAnsi="Arial" w:cs="Arial"/>
          <w:sz w:val="22"/>
          <w:szCs w:val="22"/>
        </w:rPr>
        <w:t>iz Županije su veće za 40,00 % negoli lani, a to je zbog toga što je Županija povećala iznos za uplatu za županijska stručna povjerenstva.</w:t>
      </w:r>
    </w:p>
    <w:p w:rsidR="00CD0E61" w:rsidRDefault="000E4C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Donacija u ovom razdoblju lani, a ni ove godine nismo imali.</w:t>
      </w:r>
    </w:p>
    <w:p w:rsidR="00CD0E61" w:rsidRDefault="00CD0E61">
      <w:pPr>
        <w:spacing w:line="360" w:lineRule="auto"/>
        <w:rPr>
          <w:rFonts w:ascii="Arial" w:hAnsi="Arial" w:cs="Arial"/>
          <w:sz w:val="22"/>
          <w:szCs w:val="22"/>
        </w:rPr>
      </w:pPr>
    </w:p>
    <w:p w:rsidR="00CD0E61" w:rsidRDefault="000E4CE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3.2. OBRAZLOŽENJE POSEBNOG DIJELA GODIŠNJEG  IZVJEŠTAJA</w:t>
      </w:r>
      <w:r>
        <w:rPr>
          <w:rFonts w:ascii="Arial" w:hAnsi="Arial" w:cs="Arial"/>
          <w:b/>
          <w:sz w:val="22"/>
          <w:szCs w:val="22"/>
        </w:rPr>
        <w:t xml:space="preserve"> O IZVRŠENJU FINANCIJSKOG PLANA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color w:val="538135"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PROGRAM:</w:t>
      </w:r>
      <w:r>
        <w:rPr>
          <w:rFonts w:ascii="Arial" w:eastAsia="Calibri" w:hAnsi="Arial" w:cs="Arial"/>
          <w:i/>
          <w:color w:val="FF0000"/>
          <w:sz w:val="22"/>
          <w:szCs w:val="22"/>
        </w:rPr>
        <w:t xml:space="preserve"> DECENTRALIZIRANE FUNKCIJE – MINIMALNI FINANCIJSKI STANDARD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 xml:space="preserve">: </w:t>
      </w:r>
    </w:p>
    <w:p w:rsidR="00CD0E61" w:rsidRDefault="000E4CE2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 - osnovnoškolsko obrazovanje djece</w:t>
      </w:r>
    </w:p>
    <w:p w:rsidR="00CD0E61" w:rsidRDefault="000E4CE2">
      <w:pPr>
        <w:spacing w:line="360" w:lineRule="auto"/>
        <w:ind w:firstLine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-  poticanje izvrsnosti, samostalnosti i kreativnosti kod djece, </w:t>
      </w:r>
    </w:p>
    <w:p w:rsidR="00CD0E61" w:rsidRDefault="000E4CE2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- razvijanje zdravstvene kulture, sportskih navika te ekološke svijesti kroz projekt Eko škole</w:t>
      </w:r>
    </w:p>
    <w:p w:rsidR="00CD0E61" w:rsidRDefault="000E4CE2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- prevencija nasilja i ovisnosti u školi</w:t>
      </w:r>
    </w:p>
    <w:p w:rsidR="00CD0E61" w:rsidRDefault="000E4CE2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- stručno usavršavanje zaposlenika (kroz seminare, tečajeve)</w:t>
      </w:r>
    </w:p>
    <w:p w:rsidR="00CD0E61" w:rsidRDefault="00CD0E61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REDOVNA PROGRAMSKA DJELATNOST OŠ STOB</w:t>
      </w:r>
      <w:r>
        <w:rPr>
          <w:rFonts w:ascii="Arial" w:eastAsia="Calibri" w:hAnsi="Arial" w:cs="Arial"/>
          <w:i/>
          <w:sz w:val="22"/>
          <w:szCs w:val="22"/>
        </w:rPr>
        <w:t>REČ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46.329,00 €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REALIZACIJA: </w:t>
      </w:r>
      <w:r>
        <w:rPr>
          <w:rFonts w:ascii="Arial" w:eastAsia="Calibri" w:hAnsi="Arial" w:cs="Arial"/>
          <w:i/>
          <w:sz w:val="22"/>
          <w:szCs w:val="22"/>
        </w:rPr>
        <w:t>46.328,43 €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Kroz Redovnu programsku djelatnost osnivač Grad Split nam plaća troškove za materijal i usluge koji su potrebni za tekuće i investicijsko održavanje građevinskih objekata, postr</w:t>
      </w:r>
      <w:r>
        <w:rPr>
          <w:rFonts w:ascii="Arial" w:eastAsia="Calibri" w:hAnsi="Arial" w:cs="Arial"/>
          <w:i/>
          <w:sz w:val="22"/>
          <w:szCs w:val="22"/>
        </w:rPr>
        <w:t>ojenja i opreme. Također kroz ovaj projekt su financirani financijski rashodi, rashodi za električnu energiju i energente te zdravstveni pregledi zaposlenika. Iznos / kriterij za planiranje je dobiven pomoću broja učenika koji su upisani u 2025.godini rasp</w:t>
      </w:r>
      <w:r>
        <w:rPr>
          <w:rFonts w:ascii="Arial" w:eastAsia="Calibri" w:hAnsi="Arial" w:cs="Arial"/>
          <w:i/>
          <w:sz w:val="22"/>
          <w:szCs w:val="22"/>
        </w:rPr>
        <w:t>oređenih u 16 razrednih odjela. Rashodi u redovnoj programskoj djelatnosti su izvršeni u skladu s planom 2025. 100,00 %, a manji su zbog toga što nije bilo nabavke lož ulja u istom razdoblju kao i lani, već smo ta sredstva preusmjerili na projekt Kapitalni</w:t>
      </w:r>
      <w:r>
        <w:rPr>
          <w:rFonts w:ascii="Arial" w:eastAsia="Calibri" w:hAnsi="Arial" w:cs="Arial"/>
          <w:i/>
          <w:sz w:val="22"/>
          <w:szCs w:val="22"/>
        </w:rPr>
        <w:t>h ulaganja u opremu.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Sredstva za financiranje redovne programske djelatnosti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Sredstva za financiranje redovne programske djelatnosti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 KAPITALNA ULAGANJA U OPREMU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22.000,00 €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21.996,91 €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Kroz projekt Kapitalna ulaganja u opremu Grad Split nam financira 300,00 eura po razrednom odjelu, a mi uvijek imamo 16 razrednih odj</w:t>
      </w:r>
      <w:r>
        <w:rPr>
          <w:rFonts w:ascii="Arial" w:eastAsia="Calibri" w:hAnsi="Arial" w:cs="Arial"/>
          <w:i/>
          <w:sz w:val="22"/>
          <w:szCs w:val="22"/>
        </w:rPr>
        <w:t>ela (4.800,00 €). Na taj način svake godine učionice opremamo digitalnom tehnologijom, namještajem i opremom. Međutim, kako ove godine nemamo potrebu za nabavkom lož ulja, zamolili smo Grad Split da nam odobri da ta sredstva potrošimo na računala, laptope,</w:t>
      </w:r>
      <w:r>
        <w:rPr>
          <w:rFonts w:ascii="Arial" w:eastAsia="Calibri" w:hAnsi="Arial" w:cs="Arial"/>
          <w:i/>
          <w:sz w:val="22"/>
          <w:szCs w:val="22"/>
        </w:rPr>
        <w:t xml:space="preserve"> opremu i uredski namještaj (dosta namještaja nam je bilo uništeno tokom povratka u školu, pa smo obnovili 5 kancelarija i stol u zbornici).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Sredstva za financiranje kapitalnih ulaganja u opremu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koja nam osnivač daje u jednoj godini za kapitalna ulaganja u opremu 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</w:t>
      </w:r>
      <w:r>
        <w:rPr>
          <w:rFonts w:ascii="Arial" w:eastAsia="Calibri" w:hAnsi="Arial" w:cs="Arial"/>
          <w:b/>
          <w:i/>
          <w:color w:val="FF0000"/>
          <w:sz w:val="22"/>
          <w:szCs w:val="22"/>
        </w:rPr>
        <w:t>:</w:t>
      </w:r>
      <w:r>
        <w:rPr>
          <w:rFonts w:ascii="Arial" w:eastAsia="Calibri" w:hAnsi="Arial" w:cs="Arial"/>
          <w:i/>
          <w:color w:val="FF0000"/>
          <w:sz w:val="22"/>
          <w:szCs w:val="22"/>
        </w:rPr>
        <w:t xml:space="preserve">  ŠIRE JAVNE POTREBE – IZNAD MINIMALNOG STANDARDA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poticanje što više učenika da se zainteresira za Tehničku kulturu, te proširiti znanje učenika stečeno na redovnoj nastavi.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KLUB MLADIH TEHNIČARA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664,00 €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REALIZACIJA: </w:t>
      </w:r>
      <w:r>
        <w:rPr>
          <w:rFonts w:ascii="Arial" w:eastAsia="Calibri" w:hAnsi="Arial" w:cs="Arial"/>
          <w:i/>
          <w:sz w:val="22"/>
          <w:szCs w:val="22"/>
        </w:rPr>
        <w:t>663,64 €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izvanškolskih aktivnosti za klubove mladih tehničara osnivač dodjeljuje 664,00 eura školama do 400 učenika. Iz realizacije je vidljivo da smo potrošili cijeli planirani iznos.</w:t>
      </w: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projekt KMT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Ukupna planirana sredstva koja nam osnivač daje u jednoj godini za KMT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 xml:space="preserve">: upoznati učenike s izgradnjom Dioklecijanove </w:t>
      </w:r>
      <w:r>
        <w:rPr>
          <w:rFonts w:ascii="Arial" w:eastAsia="Calibri" w:hAnsi="Arial" w:cs="Arial"/>
          <w:i/>
          <w:sz w:val="22"/>
          <w:szCs w:val="22"/>
        </w:rPr>
        <w:t xml:space="preserve"> palače, izmjenama kroz povijesna razdoblja, istaknuti njenu važnost u hrvatskoj i svjetskoj kulturnoj baštini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DIOKLECIJANOVA ŠKRINJICA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240,00 €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240,00 €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izvanškolskih aktivnosti učenike se vodi u Dioklecijanovu palaču, te je ove godine  ovaj projekt  odrađen u skladu s planom i programom. </w:t>
      </w: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prijevoz učenika do Dioklecijanove palače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koja nam osnivač daje za Dioklecijanovu škrinjicu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razvijati ekološku svijest kod učenika, ljubav prema prirodi i očuvanju iste. Prepoznati utjecaj čovjeka na okoliš. Shvatiti važnost očuvanja kulturne i prirodne baštine Marjana.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BLAGO NAŠEG</w:t>
      </w:r>
      <w:r>
        <w:rPr>
          <w:rFonts w:ascii="Arial" w:eastAsia="Calibri" w:hAnsi="Arial" w:cs="Arial"/>
          <w:i/>
          <w:sz w:val="22"/>
          <w:szCs w:val="22"/>
        </w:rPr>
        <w:t xml:space="preserve"> MARJANA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170,00 €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168,00 €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izvanškolskih aktivnosti učenike se vodi na Marjan , te je ove godine ovaj projekt odrađen u skladu s planom i programom. </w:t>
      </w: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prijevoz učenika za projekt Blago našeg Marjana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koja nam osnivač daje za Blago našeg Marjana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98,80 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razvijati kod učenika naviku odlaska u kino, kazalište ili posjet muzejima te ih učiti kulturnom ponašanju u navedenim ustanovama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PRIHODI ZA POSEBNE NAMJENE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1.452,00 €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</w:t>
      </w:r>
      <w:r>
        <w:rPr>
          <w:rFonts w:ascii="Arial" w:eastAsia="Calibri" w:hAnsi="Arial" w:cs="Arial"/>
          <w:i/>
          <w:sz w:val="22"/>
          <w:szCs w:val="22"/>
        </w:rPr>
        <w:t>EALIZACIJA: 1.452,00 €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izvanškolskih aktivnosti učenike se vodi u kazalište, kino, te druge kulturne ustanove, a troškove financiraju roditelji učenika. Vidljivo je da smo sredstva utrošili prema planu i programu.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prijevoz učenika na izlete, kazališta, kina…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izlete, kazališta, kina koja financiraju roditelji učenika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POMOĆI IZ DRŽAVNOG PRORAČUNA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3.185,00 €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2.918,32 €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krajem prošle godine Ministarstvo je uplatilo dio  prihoda  (koji nije bio planiran, budući da nismo ni znali za njega) za nabavku psihodijagnostičkih sredstava koja su namijenjena za zaštitu i unapređenje mentalnog zdravlja učenika, a početkom ove godin</w:t>
      </w:r>
      <w:r>
        <w:rPr>
          <w:rFonts w:ascii="Arial" w:eastAsia="Calibri" w:hAnsi="Arial" w:cs="Arial"/>
          <w:i/>
          <w:sz w:val="22"/>
          <w:szCs w:val="22"/>
        </w:rPr>
        <w:t>e i ostatak sredstava, pa smo nabavili 1.463,32 € materijala koji su odobreni odlukom MZOM-a. Iznos od  717,00 € je utrošeno za potrebe ukrajinskih učenika kao što su financiranje dijela cijene ekskurzije za 3 ukrajinska učenika, izleti, karte za kazališta</w:t>
      </w:r>
      <w:r>
        <w:rPr>
          <w:rFonts w:ascii="Arial" w:eastAsia="Calibri" w:hAnsi="Arial" w:cs="Arial"/>
          <w:i/>
          <w:sz w:val="22"/>
          <w:szCs w:val="22"/>
        </w:rPr>
        <w:t>, kina, materijali za učenje. Ministarstvo je odbilo financirati trošak ekskurzije za jednog ukrajinskog učenika koji nije otišao na ekskurziju, a roditelj nije javio agenciji na vrijeme, pa smo onda mi to morali financirati iz viška prihoda za posebne nam</w:t>
      </w:r>
      <w:r>
        <w:rPr>
          <w:rFonts w:ascii="Arial" w:eastAsia="Calibri" w:hAnsi="Arial" w:cs="Arial"/>
          <w:i/>
          <w:sz w:val="22"/>
          <w:szCs w:val="22"/>
        </w:rPr>
        <w:t>jene iz prijašnjih godina (iznos od 280,00 €). Također tu je i rashod za higijenske menstrualne potrepštine u iznosu od 738,00 €.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" w:name="_Hlk225771935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HMP, sredstva za PSD, sredstva za  prijevoz ukrajinskih učenika na izlete, kazališta, kina, ekskurzije…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Ukupna planirana sredstva za PSD I HMP te  za izlete, kazališta, kina, ekskurzije za ukrajince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91,60</w:t>
            </w:r>
          </w:p>
        </w:tc>
      </w:tr>
      <w:bookmarkEnd w:id="2"/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NABAVKA UDŽBENIKA I PRIBORA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24.670,00 €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24.938,82 €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MZOM </w:t>
      </w:r>
      <w:r>
        <w:rPr>
          <w:rFonts w:ascii="Arial" w:eastAsia="Calibri" w:hAnsi="Arial" w:cs="Arial"/>
          <w:i/>
          <w:sz w:val="22"/>
          <w:szCs w:val="22"/>
        </w:rPr>
        <w:t xml:space="preserve"> osigurava sredstva za nabavu udžbenika učenicima osnovnih škola. Udžbenici su vlasništvo škole i daju se učenicima sve dok su u uporabnom stanju, tako da se svake godine nabavljaju samo oni udžbenici koji nedostaju. Vidljivo je da smo prešli plan za 1,10 </w:t>
      </w:r>
      <w:r>
        <w:rPr>
          <w:rFonts w:ascii="Arial" w:eastAsia="Calibri" w:hAnsi="Arial" w:cs="Arial"/>
          <w:i/>
          <w:sz w:val="22"/>
          <w:szCs w:val="22"/>
        </w:rPr>
        <w:t>%, drugi put ćemo bolje planirati.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Komplet potrebnih udžbenika po učeniku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Svaki učenik će primiti sve udžbenike na početku školske godine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101,10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NABAVKA UDŽBENIKA I PRIBORA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19.830,00 €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19.966,14 €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Grad Split  osigurava sredstva za nabavu radnih bilježnica  učenicima osnovnih škola. Radne bilježnice se   daju  učenicima,  tako da s</w:t>
      </w:r>
      <w:r>
        <w:rPr>
          <w:rFonts w:ascii="Arial" w:eastAsia="Calibri" w:hAnsi="Arial" w:cs="Arial"/>
          <w:i/>
          <w:sz w:val="22"/>
          <w:szCs w:val="22"/>
        </w:rPr>
        <w:t>e svake godine nabavljaju nove radne bilježnice. Vidljivo je da smo prešli plan za 0,70 %.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Radne bilježnice po učeniku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Svaki učenik će primiti sve radne bilježnice na početku školske godine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100,70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hAnsi="Arial" w:cs="Arial"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 PROMETNI ODGOJ I SIGURNOST U PROMETU – PROMETNI POLIGON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654,00 €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654,00 €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Kroz ovaj projekt učenike 3., 4. i 5. razreda učimo prometnoj kulturi i usvajanju prometnih pravila (pješaci i biciklisti). Upoznaju se s prometnim znakovima, primjenom propisa i prometne signalizacije te sigurno kretanje prometnicom. Projekt je realizir</w:t>
      </w:r>
      <w:r>
        <w:rPr>
          <w:rFonts w:ascii="Arial" w:eastAsia="Calibri" w:hAnsi="Arial" w:cs="Arial"/>
          <w:i/>
          <w:sz w:val="22"/>
          <w:szCs w:val="22"/>
        </w:rPr>
        <w:t>an u cijelosti u okviru plana i programa.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prijevoz učenika na Prometni poligon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Prometni poligon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  HITNE INTERVENCIJE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6.000,00 €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5.891,52 €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budući da smo se polovicom 06/2025 morali iseliti iz Škole da bi se mogla napraviti energetska obnova i dogradnja tokom ljeta, kad smo se vratil</w:t>
      </w:r>
      <w:r>
        <w:rPr>
          <w:rFonts w:ascii="Arial" w:eastAsia="Calibri" w:hAnsi="Arial" w:cs="Arial"/>
          <w:i/>
          <w:sz w:val="22"/>
          <w:szCs w:val="22"/>
        </w:rPr>
        <w:t>i u Školu bilo je potrebno organizirati čišćenje škole što nikako nisu mogle odraditi naše spremačice, pa smo morali angažirati vanjske firme da nam navedeno odrade. A morali smo dati izraditi i Plan sigurnosti školske ustanove kao i procjenu postojećeg st</w:t>
      </w:r>
      <w:r>
        <w:rPr>
          <w:rFonts w:ascii="Arial" w:eastAsia="Calibri" w:hAnsi="Arial" w:cs="Arial"/>
          <w:i/>
          <w:sz w:val="22"/>
          <w:szCs w:val="22"/>
        </w:rPr>
        <w:t>anja i analizu rizika.</w:t>
      </w: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hitne intervencije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Hitnih intervencija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98,20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PROJEKT E-ŠKOLE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2.930,00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2.317,80 €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Škola ima ugovorenu vanjsku uslugu za tehničku podršku, a troškovi su određeni ugovorom. Također imamo sklopljen ugovor sa firmom koja nam je omogućila digitalno uredsk</w:t>
      </w:r>
      <w:r>
        <w:rPr>
          <w:rFonts w:ascii="Arial" w:eastAsia="Calibri" w:hAnsi="Arial" w:cs="Arial"/>
          <w:i/>
          <w:sz w:val="22"/>
          <w:szCs w:val="22"/>
        </w:rPr>
        <w:t>o poslovanje. Troškovi su  realizirani u iznosu od 79,10 % od plana, a razlog je taj što smo postojećoj firmi za tehničku podršku otkazali suradnju zbog neispunjenja svojih obveza prema nama.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Sklopljen ugovor sa stručnjakom za tehničku podršku-  Škola – ugovor Lucida Stella,te ugovor s  In rebus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Ugovor za podršku u radu s IKT opremom te ugovor o digitalnom uredskom poslovanju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hAnsi="Arial" w:cs="Arial"/>
          <w:b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PREHRANA UČENIKA - Grad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5.641,00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1.641,13 €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Od 9.1.2023. godine uveden je projekt PREHRANA UČENIKA u sve osnovne škole. Budući da škola nema kuhinju, marenda se nabavlja od vanjskih suradnika. Rashode za nabavu marende do iznosa 1,33 eur/kom snosi MZOM, a sve preko tog iznosa grad Split. Za rashod</w:t>
      </w:r>
      <w:r>
        <w:rPr>
          <w:rFonts w:ascii="Arial" w:eastAsia="Calibri" w:hAnsi="Arial" w:cs="Arial"/>
          <w:i/>
          <w:sz w:val="22"/>
          <w:szCs w:val="22"/>
        </w:rPr>
        <w:t>e koje financira Grad je utrošeno 29,10 % od plana, a razlog zašto je tako malo utrošeno je taj što je cijena marende manja od 1,33 € nakon što je potpisan ugovor s pekarom Babić , pa je onda cijeli trošak išao na MZOM.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prehranu učenika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prehrane učenika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29,10</w:t>
            </w:r>
          </w:p>
        </w:tc>
      </w:tr>
    </w:tbl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PREHRANA UČENIKA – Ministarstvo znanosti, obrazovanja i mladih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84.000,00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62.581,50 €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Od 9.1.2023. godine uveden je projekt PREHRANA UČENIKA u sve osnovne škole. Budući da škola nema kuhinju, marenda se nabavlja od vanjskih suradnika. Rashode za nabavu marende do izno</w:t>
      </w:r>
      <w:r>
        <w:rPr>
          <w:rFonts w:ascii="Arial" w:eastAsia="Calibri" w:hAnsi="Arial" w:cs="Arial"/>
          <w:i/>
          <w:sz w:val="22"/>
          <w:szCs w:val="22"/>
        </w:rPr>
        <w:t>sa 1,33 eur/kom snosi MZOM. Za rashode koje financira Ministarstvo je utrošeno 74,50 % od plana.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prehranu učenika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prehrane učenika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74,50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POMOĆI TEMELJEM PRIJENOSA EU SREDSTAVA – S POMOĆNIKOM MOGU BOLJE 7 EU – izvor 1.1.1.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5.565,00</w:t>
      </w:r>
      <w:r>
        <w:rPr>
          <w:rFonts w:ascii="Arial" w:eastAsia="Calibri" w:hAnsi="Arial" w:cs="Arial"/>
          <w:i/>
          <w:sz w:val="22"/>
          <w:szCs w:val="22"/>
        </w:rPr>
        <w:t xml:space="preserve">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3.097,36 €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</w:t>
      </w:r>
      <w:r>
        <w:rPr>
          <w:rFonts w:ascii="Arial" w:eastAsia="Calibri" w:hAnsi="Arial" w:cs="Arial"/>
          <w:i/>
          <w:sz w:val="22"/>
          <w:szCs w:val="22"/>
        </w:rPr>
        <w:t>pod izvorom 1.1.1. smo dobili uputu od Grada da planiramo troškove koji nisu opravdani za pomoćnike u nastavi pod izvorom 5.2.2., a to su darovi djeci, naknada za bolest, invalidnost i smrtni slučaj, te troškove plaće za pomoćnicu koja nije odradila obvezn</w:t>
      </w:r>
      <w:r>
        <w:rPr>
          <w:rFonts w:ascii="Arial" w:eastAsia="Calibri" w:hAnsi="Arial" w:cs="Arial"/>
          <w:i/>
          <w:sz w:val="22"/>
          <w:szCs w:val="22"/>
        </w:rPr>
        <w:t>u edukaciju prije ove školske godine. Tako da smo joj ovdje planirali troškove za 4 plaće i to za 09-10-11-12/2025, a budući da je u 12 mjesecu završila edukaciju, nije bilo potrebe da se trošak plaće od 12 mjeseca stavi pod ovaj izvor.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3" w:name="_Hlk225774359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pomoćnike u nastavi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pomoćnika u nastavi izvor 111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55,70</w:t>
            </w:r>
          </w:p>
        </w:tc>
      </w:tr>
      <w:bookmarkEnd w:id="3"/>
    </w:tbl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POMOĆI TEMELJEM PRIJENOSA EU SREDSTAVA – S POMOĆNIKOM MOGU BOLJE 7- izvor 5.2.2.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68.895,00</w:t>
      </w:r>
      <w:r>
        <w:rPr>
          <w:rFonts w:ascii="Arial" w:eastAsia="Calibri" w:hAnsi="Arial" w:cs="Arial"/>
          <w:i/>
          <w:sz w:val="22"/>
          <w:szCs w:val="22"/>
        </w:rPr>
        <w:t xml:space="preserve">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62.640,52 €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projekt kojim se pomaže djeci s poteškoćama u razvoju. Cilj projekta je povećanje socijalne uključenost</w:t>
      </w:r>
      <w:r>
        <w:rPr>
          <w:rFonts w:ascii="Arial" w:eastAsia="Calibri" w:hAnsi="Arial" w:cs="Arial"/>
          <w:i/>
          <w:sz w:val="22"/>
          <w:szCs w:val="22"/>
        </w:rPr>
        <w:t>i i integracije učenika s poteškoćama. Trenutno imamo 6 pomoćnika u nastavi.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pomoćnike u nastavi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pomoćnika u nastavi izvor 522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90,90</w:t>
            </w:r>
          </w:p>
        </w:tc>
      </w:tr>
    </w:tbl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</w:t>
      </w:r>
      <w:r>
        <w:rPr>
          <w:rFonts w:ascii="Arial" w:eastAsia="Calibri" w:hAnsi="Arial" w:cs="Arial"/>
          <w:b/>
          <w:i/>
          <w:color w:val="FF0000"/>
          <w:sz w:val="22"/>
          <w:szCs w:val="22"/>
        </w:rPr>
        <w:t>: KAPITALNA ULAGANJA U OŠ IZNAD STANDARDA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kupnja lektirne građe za knjižnice u OŠ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NABAVKA ŠKOLSKE LEKTIRE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2.050,00</w:t>
      </w:r>
      <w:r>
        <w:rPr>
          <w:rFonts w:ascii="Arial" w:eastAsia="Calibri" w:hAnsi="Arial" w:cs="Arial"/>
          <w:i/>
          <w:sz w:val="22"/>
          <w:szCs w:val="22"/>
        </w:rPr>
        <w:t xml:space="preserve"> €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1.300,79 €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Svake godine dobijemo uplatu od osnivača za nabavku školske lektire te od Ministarstva koja bude krajem godine. Nekad dobijemo i donacije, ali to ove godine nije bio slučaj. Sveukupno sm</w:t>
      </w:r>
      <w:r>
        <w:rPr>
          <w:rFonts w:ascii="Arial" w:eastAsia="Calibri" w:hAnsi="Arial" w:cs="Arial"/>
          <w:i/>
          <w:sz w:val="22"/>
          <w:szCs w:val="22"/>
        </w:rPr>
        <w:t xml:space="preserve">o potrošili 63,50 % od planiranog, ali je bitno napomenuti da smo kod sredstava od MZOM-a prešli plan za 10,10 % zbog toga što smo iza zadnjeg rebalansa dobili uputu od MZOM-a da kupimo knjige Herojski Vukovar 1.i 2.. 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nabavku lektire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nabavka lektire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63,50</w:t>
            </w:r>
          </w:p>
        </w:tc>
      </w:tr>
    </w:tbl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</w:t>
      </w:r>
      <w:r>
        <w:rPr>
          <w:rFonts w:ascii="Arial" w:eastAsia="Calibri" w:hAnsi="Arial" w:cs="Arial"/>
          <w:b/>
          <w:i/>
          <w:color w:val="FF0000"/>
          <w:sz w:val="22"/>
          <w:szCs w:val="22"/>
        </w:rPr>
        <w:t>: RASHODI ZA ZAPOSLENE U OŠ</w:t>
      </w: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b/>
          <w:i/>
          <w:color w:val="FF0000"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CILJ PROGRAMA: </w:t>
      </w:r>
      <w:r>
        <w:rPr>
          <w:rFonts w:ascii="Arial" w:eastAsia="Calibri" w:hAnsi="Arial" w:cs="Arial"/>
          <w:i/>
          <w:sz w:val="22"/>
          <w:szCs w:val="22"/>
        </w:rPr>
        <w:t>Zadovoljstvo djelatnika te usklađenost sa pedagoškim standardima.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RASHODI ZA ZAPOSLENE – izvor 1.1.1.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1.685,30 €</w:t>
      </w:r>
    </w:p>
    <w:p w:rsidR="00CD0E61" w:rsidRDefault="000E4CE2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p</w:t>
      </w:r>
      <w:r>
        <w:rPr>
          <w:rFonts w:ascii="Arial" w:hAnsi="Arial" w:cs="Arial"/>
          <w:i/>
          <w:sz w:val="22"/>
          <w:szCs w:val="22"/>
        </w:rPr>
        <w:t>od izvorom 1.1.1. smo imali neplanirane troškove kao što su prekovremeni rad i nagrada za radne rezultate djelatniku, a sve zbog povećanog opsega poslova i učinkovitosti. Neplanirani su zato što su odobreni nakon zadnjeg rebalansa u 2025. godini.</w:t>
      </w:r>
    </w:p>
    <w:p w:rsidR="00CD0E61" w:rsidRDefault="00CD0E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prekovremeni i nagradu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prekovremene i nagradu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CD0E61" w:rsidRDefault="00CD0E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RASHODI ZA ZAPOSLENE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1.204.469,00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1.158.967,03 €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Održavanje zadovoljstva zaposlenika povećanjem osnovice na plaću, koeficijenata, darova, regresa te održavanje pedagoškog standarda što se tiče broja učenika u razrednom odjelu</w:t>
      </w:r>
      <w:r>
        <w:rPr>
          <w:rFonts w:ascii="Arial" w:eastAsia="Calibri" w:hAnsi="Arial" w:cs="Arial"/>
          <w:i/>
          <w:sz w:val="22"/>
          <w:szCs w:val="22"/>
        </w:rPr>
        <w:t xml:space="preserve">. Iz tablice je vidljivo da je utrošeno  96,20 %  od planiranog. 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rashode za zaposlene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projekt rashoda za zaposlene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96,20</w:t>
            </w:r>
          </w:p>
        </w:tc>
      </w:tr>
    </w:tbl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RASHODI ZA ZAPOSLENE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100,00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70,00 €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ovaj iznos je potrošen </w:t>
      </w:r>
      <w:r>
        <w:rPr>
          <w:rFonts w:ascii="Arial" w:eastAsia="Calibri" w:hAnsi="Arial" w:cs="Arial"/>
          <w:i/>
          <w:sz w:val="22"/>
          <w:szCs w:val="22"/>
        </w:rPr>
        <w:t>za naknade županijskih povjerenstava, planirali smo više zato što je u odnosu na prošlu godinu povećana naknada.</w:t>
      </w: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Naknade članovima županijskih povjerenstava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naknade članovima županijskih povjerenstava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</w:tr>
    </w:tbl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RASHODI ZA ZAPOSLENE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83,00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CD0E61" w:rsidRDefault="000E4CE2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82,94 €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ovaj iznos je potrošen na oporezive dnevnice za tri pomoćnice u nastavi koje su išle s djecom na izlet. Pomoćnice su ostvarile punu dnevnicu, ali zbog duljine trajanja izleta, prema poreznom zakonu pola dnevnice je neoporezivo, a druga polovica je oporez</w:t>
      </w:r>
      <w:r>
        <w:rPr>
          <w:rFonts w:ascii="Arial" w:eastAsia="Calibri" w:hAnsi="Arial" w:cs="Arial"/>
          <w:i/>
          <w:sz w:val="22"/>
          <w:szCs w:val="22"/>
        </w:rPr>
        <w:t>iva. Ovu oporezivu dnevnicu su nam odbili platiti iz projekta S pomoćnikom mogu bolje 7, pa smo je financirali iz viška vlastitih sredstava (izvor 9.3.1.)</w:t>
      </w: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tbl>
      <w:tblPr>
        <w:tblW w:w="13921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2118"/>
        <w:gridCol w:w="4090"/>
      </w:tblGrid>
      <w:tr w:rsidR="00CD0E61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Planska vrijednost 2025.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0E61" w:rsidRDefault="000E4C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Realizacija 2025.</w:t>
            </w:r>
          </w:p>
        </w:tc>
      </w:tr>
      <w:tr w:rsidR="00CD0E6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za dnevnice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Ukupna planirana sredstva za dnevnice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99,90</w:t>
            </w:r>
          </w:p>
        </w:tc>
      </w:tr>
    </w:tbl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4.POSEBNI IZVJEŠTAJI </w:t>
      </w:r>
    </w:p>
    <w:p w:rsidR="00CD0E61" w:rsidRDefault="00CD0E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4.1. Izvještaj o korištenju sredstava fondova Europske unije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 </w:t>
      </w: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Osnovna škola Stobreč nije koristila sredstva iz fondova Europske unije.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4.2. Izvještaj o zaduživanju na domaćem i stranom tržištu novca i kapitala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Osnovna škola Stobreč se nije zaduživala na domaćem i stranom tržištu novca i kapitala.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4.3.Izvještaj od danim zajmovima i potraživanjima po danim zajmovima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Osnovna škola Stobreč</w:t>
      </w:r>
      <w:r>
        <w:rPr>
          <w:rFonts w:ascii="Arial" w:eastAsia="Calibri" w:hAnsi="Arial" w:cs="Arial"/>
          <w:i/>
          <w:sz w:val="22"/>
          <w:szCs w:val="22"/>
        </w:rPr>
        <w:t xml:space="preserve"> nema danih zajmova, a sukladno tome ni potraživanja po danim zajmovima.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4.4. Izvještaj o stanju potraživanja i dospjelih obveza te o stanju potencijalnih obveza po  osnovi sudskih sporova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LINK Excel.Sheet.12 "C:\\Users\\Korisnik\\Desktop\\FIN.IIZVJEŠTAJ\</w:instrText>
      </w:r>
      <w:r>
        <w:rPr>
          <w:rFonts w:eastAsia="Calibri"/>
        </w:rPr>
        <w:instrText xml:space="preserve">\FINANCIJSKI IZVJEŠATJI 2025\\01-12-2025\\rezultat poslovanja po izvorima financiranja 30062025.xlsx-zadnji.xlsx" "List1!R2C1:R12C8" \a \f 4 \h </w:instrText>
      </w:r>
      <w:r>
        <w:rPr>
          <w:rFonts w:eastAsia="Calibri"/>
        </w:rPr>
        <w:fldChar w:fldCharType="separate"/>
      </w:r>
    </w:p>
    <w:tbl>
      <w:tblPr>
        <w:tblW w:w="14161" w:type="dxa"/>
        <w:tblLook w:val="04A0" w:firstRow="1" w:lastRow="0" w:firstColumn="1" w:lastColumn="0" w:noHBand="0" w:noVBand="1"/>
      </w:tblPr>
      <w:tblGrid>
        <w:gridCol w:w="553"/>
        <w:gridCol w:w="2080"/>
        <w:gridCol w:w="1578"/>
        <w:gridCol w:w="1804"/>
        <w:gridCol w:w="1897"/>
        <w:gridCol w:w="1551"/>
        <w:gridCol w:w="1471"/>
        <w:gridCol w:w="3260"/>
      </w:tblGrid>
      <w:tr w:rsidR="00CD0E61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61" w:rsidRDefault="00CD0E61"/>
        </w:tc>
        <w:tc>
          <w:tcPr>
            <w:tcW w:w="10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color w:val="000000"/>
              </w:rPr>
            </w:pPr>
            <w:r>
              <w:rPr>
                <w:color w:val="000000"/>
              </w:rPr>
              <w:t>REZULTATI POSLOVANJA PREMA IZVORIMA FINANCIRANJA 01.01.2025. do 31.12.2025.g.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61" w:rsidRDefault="00CD0E61">
            <w:pPr>
              <w:rPr>
                <w:color w:val="000000"/>
              </w:rPr>
            </w:pPr>
          </w:p>
        </w:tc>
      </w:tr>
      <w:tr w:rsidR="00CD0E61">
        <w:trPr>
          <w:trHeight w:val="863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textDirection w:val="tbRl"/>
            <w:vAlign w:val="center"/>
            <w:hideMark/>
          </w:tcPr>
          <w:p w:rsidR="00CD0E61" w:rsidRDefault="000E4C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OJ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</w:rPr>
            </w:pPr>
            <w:r>
              <w:rPr>
                <w:color w:val="000000"/>
              </w:rPr>
              <w:t>Izvori financiranja</w:t>
            </w: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</w:rPr>
            </w:pPr>
            <w:r>
              <w:rPr>
                <w:color w:val="000000"/>
              </w:rPr>
              <w:t>V/M 2024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</w:rPr>
            </w:pPr>
            <w:r>
              <w:rPr>
                <w:color w:val="000000"/>
              </w:rPr>
              <w:t>PRIHODI-2025.g.</w:t>
            </w:r>
          </w:p>
        </w:tc>
        <w:tc>
          <w:tcPr>
            <w:tcW w:w="18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</w:rPr>
            </w:pPr>
            <w:r>
              <w:rPr>
                <w:color w:val="000000"/>
              </w:rPr>
              <w:t>RASHODI-2025.g.</w:t>
            </w:r>
          </w:p>
        </w:tc>
        <w:tc>
          <w:tcPr>
            <w:tcW w:w="1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</w:rPr>
            </w:pPr>
            <w:r>
              <w:rPr>
                <w:color w:val="000000"/>
              </w:rPr>
              <w:t>V/M 2025.</w:t>
            </w:r>
          </w:p>
        </w:tc>
        <w:tc>
          <w:tcPr>
            <w:tcW w:w="14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CD0E61" w:rsidRDefault="000E4CE2">
            <w:pPr>
              <w:rPr>
                <w:color w:val="000000"/>
              </w:rPr>
            </w:pPr>
            <w:r>
              <w:rPr>
                <w:color w:val="000000"/>
              </w:rPr>
              <w:t>V/M    UKUPNO (kol,3+6)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Napomena-za kol. 7</w:t>
            </w:r>
          </w:p>
        </w:tc>
      </w:tr>
      <w:tr w:rsidR="00CD0E61">
        <w:trPr>
          <w:trHeight w:val="270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CD0E61">
        <w:trPr>
          <w:trHeight w:val="1035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VLASTITI  PRIHODI KAMATE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-25,91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306,96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Kamate i VLASTITI+EL.ENERGIJA</w:t>
            </w:r>
          </w:p>
        </w:tc>
      </w:tr>
      <w:tr w:rsidR="00CD0E61">
        <w:trPr>
          <w:trHeight w:val="1755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GRAD SPLIT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-13.688,00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148.137,20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167.930,75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-19.793,55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-33.481,55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Plaća za  pomoć. (12/25) (</w:t>
            </w:r>
            <w:r>
              <w:rPr>
                <w:color w:val="FF0000"/>
                <w:sz w:val="22"/>
                <w:szCs w:val="22"/>
              </w:rPr>
              <w:t>-5541,15</w:t>
            </w:r>
            <w:r>
              <w:rPr>
                <w:color w:val="000000"/>
                <w:sz w:val="22"/>
                <w:szCs w:val="22"/>
              </w:rPr>
              <w:t>),   (12/25)-URE (</w:t>
            </w:r>
            <w:r>
              <w:rPr>
                <w:color w:val="FF0000"/>
                <w:sz w:val="22"/>
                <w:szCs w:val="22"/>
              </w:rPr>
              <w:t>-27940,40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</w:tr>
      <w:tr w:rsidR="00CD0E61">
        <w:trPr>
          <w:trHeight w:val="2325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MZOM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-6.601,20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1.162.834,78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1.250.066,46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-87.231,68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-93.832,88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Babić marende 12/25 (</w:t>
            </w:r>
            <w:r>
              <w:rPr>
                <w:color w:val="FF0000"/>
                <w:sz w:val="22"/>
                <w:szCs w:val="22"/>
              </w:rPr>
              <w:t>-5537,12</w:t>
            </w:r>
            <w:r>
              <w:rPr>
                <w:color w:val="000000"/>
                <w:sz w:val="22"/>
                <w:szCs w:val="22"/>
              </w:rPr>
              <w:t>) , plaća za 12/25 (</w:t>
            </w:r>
            <w:r>
              <w:rPr>
                <w:color w:val="FF0000"/>
                <w:sz w:val="22"/>
                <w:szCs w:val="22"/>
              </w:rPr>
              <w:t>-88818,67</w:t>
            </w:r>
            <w:r>
              <w:rPr>
                <w:color w:val="000000"/>
                <w:sz w:val="22"/>
                <w:szCs w:val="22"/>
              </w:rPr>
              <w:t>)+ mater.za 12/25 (-641,44) , povrat MZOM-u za višak marendi od 2025. (3398,58), Hzzo bolovanja 1020,09</w:t>
            </w:r>
          </w:p>
        </w:tc>
      </w:tr>
      <w:tr w:rsidR="00CD0E61">
        <w:trPr>
          <w:trHeight w:val="1178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OSTALO-NESPOMENUTI PH PO POSEBNIM PROPISIMA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1.207,91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1.137,91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ZADRUGA</w:t>
            </w:r>
          </w:p>
        </w:tc>
      </w:tr>
      <w:tr w:rsidR="00CD0E61">
        <w:trPr>
          <w:trHeight w:val="660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PRIHODI OD ŽUPANIJE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Ostalo Dalmatinskog suvenira</w:t>
            </w:r>
          </w:p>
        </w:tc>
      </w:tr>
      <w:tr w:rsidR="00CD0E61">
        <w:trPr>
          <w:trHeight w:val="780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DONACIJE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DONACIJA IZ PRIJAŠNJIH GODINA</w:t>
            </w:r>
          </w:p>
        </w:tc>
      </w:tr>
      <w:tr w:rsidR="00CD0E61">
        <w:trPr>
          <w:trHeight w:val="1290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OSTALO-NESPOMENUTI PH PO POSEBNIM PROPISIMA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1.452,00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Uplata roditelja  PRIJEVOZ NA IZLET </w:t>
            </w:r>
          </w:p>
        </w:tc>
      </w:tr>
      <w:tr w:rsidR="00CD0E61">
        <w:trPr>
          <w:trHeight w:val="499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-17.954,67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1.312.782,54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1.419.903,68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-107.121,14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-125.075,81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D0E61" w:rsidRDefault="000E4C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eastAsia="Calibri"/>
        </w:rPr>
        <w:fldChar w:fldCharType="end"/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Iz gornje tablice je vidljivo da je OŠ Stobreč ostvarila:</w:t>
      </w: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CD0E61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-manjak prihoda za razdoblje I-XII/2025</w:t>
      </w:r>
      <w:r>
        <w:rPr>
          <w:rFonts w:ascii="Arial" w:hAnsi="Arial" w:cs="Arial"/>
          <w:b/>
          <w:sz w:val="22"/>
          <w:szCs w:val="22"/>
        </w:rPr>
        <w:t>    -107.121,14 €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-manjku prihoda 2025.godine smo dodali preneseni manjak iz 2024. godine od </w:t>
      </w:r>
      <w:r>
        <w:rPr>
          <w:rFonts w:ascii="Arial" w:hAnsi="Arial" w:cs="Arial"/>
          <w:b/>
          <w:sz w:val="22"/>
          <w:szCs w:val="22"/>
        </w:rPr>
        <w:t>-17.954,67 €</w:t>
      </w:r>
      <w:r>
        <w:rPr>
          <w:rFonts w:ascii="Arial" w:hAnsi="Arial" w:cs="Arial"/>
          <w:sz w:val="22"/>
          <w:szCs w:val="22"/>
        </w:rPr>
        <w:t>, što nam daje konačni manjak prihoda u iznosu od</w:t>
      </w:r>
      <w:r>
        <w:rPr>
          <w:rFonts w:ascii="Arial" w:hAnsi="Arial" w:cs="Arial"/>
          <w:b/>
          <w:sz w:val="22"/>
          <w:szCs w:val="22"/>
        </w:rPr>
        <w:t>-125.075,81 € .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Struktura manjka prihoda: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manjak od Grada I-XII/2025  ......-33.481,55 €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manjak od MZOM-a I-XII/2025  .....-93.832,88 €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višak od vlastitih prihoda  ......................  306,96 €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višak od Zadruge......................................1.137,91 €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višak od Županije (Dalmat.suvenir)........102,00 €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višak od donacija...........................................691,75 €</w:t>
      </w:r>
    </w:p>
    <w:p w:rsidR="00CD0E61" w:rsidRDefault="000E4C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Manjak prihoda za pokriće u sljedećem razdoblju :  -125.075,8</w:t>
      </w:r>
      <w:r>
        <w:rPr>
          <w:rFonts w:ascii="Arial" w:hAnsi="Arial" w:cs="Arial"/>
          <w:sz w:val="22"/>
          <w:szCs w:val="22"/>
        </w:rPr>
        <w:t>1 €</w:t>
      </w:r>
    </w:p>
    <w:p w:rsidR="00CD0E61" w:rsidRDefault="000E4CE2">
      <w:pPr>
        <w:spacing w:after="160" w:line="259" w:lineRule="auto"/>
        <w:rPr>
          <w:szCs w:val="20"/>
        </w:rPr>
      </w:pPr>
      <w:r>
        <w:rPr>
          <w:szCs w:val="20"/>
        </w:rPr>
        <w:t>Stanje obveza na dan 31.12.2025. je 132.897,45 eura, a dijelimo ih na:</w:t>
      </w:r>
    </w:p>
    <w:p w:rsidR="00CD0E61" w:rsidRDefault="000E4CE2">
      <w:pPr>
        <w:spacing w:after="160" w:line="259" w:lineRule="auto"/>
        <w:rPr>
          <w:szCs w:val="20"/>
        </w:rPr>
      </w:pPr>
      <w:r>
        <w:rPr>
          <w:szCs w:val="20"/>
        </w:rPr>
        <w:t>Grad Split</w:t>
      </w:r>
    </w:p>
    <w:p w:rsidR="00CD0E61" w:rsidRDefault="000E4CE2">
      <w:pPr>
        <w:numPr>
          <w:ilvl w:val="0"/>
          <w:numId w:val="5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plaća za 12/2025 pomoćnici 5.541,15 eura</w:t>
      </w:r>
    </w:p>
    <w:p w:rsidR="00CD0E61" w:rsidRDefault="000E4CE2">
      <w:pPr>
        <w:numPr>
          <w:ilvl w:val="0"/>
          <w:numId w:val="5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URE 27.940,40 eura</w:t>
      </w:r>
    </w:p>
    <w:p w:rsidR="00CD0E61" w:rsidRDefault="000E4CE2">
      <w:pPr>
        <w:spacing w:after="160" w:line="259" w:lineRule="auto"/>
        <w:rPr>
          <w:szCs w:val="20"/>
        </w:rPr>
      </w:pPr>
      <w:r>
        <w:rPr>
          <w:szCs w:val="20"/>
        </w:rPr>
        <w:t>MZOM</w:t>
      </w:r>
    </w:p>
    <w:p w:rsidR="00CD0E61" w:rsidRDefault="000E4CE2">
      <w:pPr>
        <w:numPr>
          <w:ilvl w:val="0"/>
          <w:numId w:val="6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plaća za 12/2025  88.818,67 eura</w:t>
      </w:r>
    </w:p>
    <w:p w:rsidR="00CD0E61" w:rsidRDefault="000E4CE2">
      <w:pPr>
        <w:numPr>
          <w:ilvl w:val="0"/>
          <w:numId w:val="6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materijalna prava 12/2025  641,44 eura</w:t>
      </w:r>
    </w:p>
    <w:p w:rsidR="00CD0E61" w:rsidRDefault="000E4CE2">
      <w:pPr>
        <w:numPr>
          <w:ilvl w:val="0"/>
          <w:numId w:val="6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prehrana 12/2025 5.537,12 eura</w:t>
      </w:r>
    </w:p>
    <w:p w:rsidR="00CD0E61" w:rsidRDefault="000E4CE2">
      <w:pPr>
        <w:pStyle w:val="Odlomakpopisa"/>
        <w:numPr>
          <w:ilvl w:val="0"/>
          <w:numId w:val="6"/>
        </w:numPr>
      </w:pPr>
      <w:r>
        <w:t>HZZO bolovanja 1.020,09 eura</w:t>
      </w:r>
    </w:p>
    <w:p w:rsidR="00CD0E61" w:rsidRDefault="000E4CE2">
      <w:pPr>
        <w:pStyle w:val="Odlomakpopisa"/>
        <w:numPr>
          <w:ilvl w:val="0"/>
          <w:numId w:val="6"/>
        </w:numPr>
      </w:pPr>
      <w:r>
        <w:t>obveza za povrat u proračun 3.398,58   (višak sredstava za prehranu od 09-11/2025)</w:t>
      </w:r>
    </w:p>
    <w:p w:rsidR="00CD0E61" w:rsidRDefault="000E4CE2">
      <w:r>
        <w:t>Dospjelo je 798,40 eura, a 132.099,05 eura je nedospjelo. </w:t>
      </w:r>
    </w:p>
    <w:p w:rsidR="00CD0E61" w:rsidRDefault="00CD0E61"/>
    <w:p w:rsidR="00CD0E61" w:rsidRDefault="000E4CE2">
      <w:r>
        <w:t>OŠ Stobreč nema više obveze po osnovi  sudskih sporova.</w:t>
      </w:r>
    </w:p>
    <w:p w:rsidR="00CD0E61" w:rsidRDefault="00CD0E6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="00CD0E61" w:rsidRDefault="000E4CE2">
      <w:pPr>
        <w:spacing w:after="160" w:line="259" w:lineRule="auto"/>
        <w:rPr>
          <w:szCs w:val="20"/>
        </w:rPr>
      </w:pPr>
      <w:r>
        <w:rPr>
          <w:szCs w:val="20"/>
        </w:rPr>
        <w:t>OŠ Stobreč ima  potraživanj</w:t>
      </w:r>
      <w:r>
        <w:rPr>
          <w:szCs w:val="20"/>
        </w:rPr>
        <w:t>a od HZZO-a  u iznosu od 2.275,42 € za bolovanja na teret HZZO-a. To su bolovanja za:</w:t>
      </w:r>
    </w:p>
    <w:p w:rsidR="00CD0E61" w:rsidRDefault="000E4CE2">
      <w:pPr>
        <w:numPr>
          <w:ilvl w:val="0"/>
          <w:numId w:val="5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02/2025 197,96 eura (R. L. HZZO zaboravilo obračunati),</w:t>
      </w:r>
    </w:p>
    <w:p w:rsidR="00CD0E61" w:rsidRDefault="000E4CE2">
      <w:pPr>
        <w:numPr>
          <w:ilvl w:val="0"/>
          <w:numId w:val="5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10/2025  324,60 eura</w:t>
      </w:r>
    </w:p>
    <w:p w:rsidR="00CD0E61" w:rsidRDefault="000E4CE2">
      <w:pPr>
        <w:numPr>
          <w:ilvl w:val="0"/>
          <w:numId w:val="5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11/2025  497,73 eura</w:t>
      </w:r>
    </w:p>
    <w:p w:rsidR="00CD0E61" w:rsidRDefault="000E4CE2">
      <w:pPr>
        <w:numPr>
          <w:ilvl w:val="0"/>
          <w:numId w:val="5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12/2025  1.255,13 eura.</w:t>
      </w:r>
    </w:p>
    <w:p w:rsidR="00CD0E61" w:rsidRDefault="00CD0E61">
      <w:pPr>
        <w:spacing w:after="160" w:line="259" w:lineRule="auto"/>
        <w:rPr>
          <w:szCs w:val="20"/>
        </w:rPr>
      </w:pPr>
    </w:p>
    <w:p w:rsidR="00CD0E61" w:rsidRDefault="00CD0E61">
      <w:pPr>
        <w:spacing w:line="360" w:lineRule="auto"/>
        <w:rPr>
          <w:rFonts w:ascii="Arial" w:hAnsi="Arial" w:cs="Arial"/>
          <w:sz w:val="22"/>
          <w:szCs w:val="22"/>
        </w:rPr>
      </w:pPr>
    </w:p>
    <w:p w:rsidR="00CD0E61" w:rsidRDefault="000E4CE2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4.5. Izvještaj o danim jamstvima i plaćanjima </w:t>
      </w:r>
      <w:r>
        <w:rPr>
          <w:rFonts w:ascii="Arial" w:hAnsi="Arial" w:cs="Arial"/>
          <w:b/>
          <w:i/>
          <w:sz w:val="22"/>
          <w:szCs w:val="22"/>
        </w:rPr>
        <w:t xml:space="preserve">po protestiranim jamstvima </w:t>
      </w:r>
    </w:p>
    <w:p w:rsidR="00CD0E61" w:rsidRDefault="000E4CE2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Osnovna škola Stobreč nema dana jamstva i plaćanja po protestiranim jamstvima.</w:t>
      </w:r>
    </w:p>
    <w:p w:rsidR="00CD0E61" w:rsidRDefault="00CD0E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D0E61" w:rsidRDefault="00CD0E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Ravnatelj:</w:t>
      </w:r>
    </w:p>
    <w:p w:rsidR="00CD0E61" w:rsidRDefault="00CD0E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D0E61" w:rsidRDefault="000E4CE2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_____________________</w:t>
      </w:r>
    </w:p>
    <w:p w:rsidR="00CD0E61" w:rsidRDefault="000E4CE2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Siniša Duhović,  prof.</w:t>
      </w:r>
    </w:p>
    <w:p w:rsidR="00CD0E61" w:rsidRDefault="00CD0E61">
      <w:pPr>
        <w:rPr>
          <w:rFonts w:ascii="Arial" w:hAnsi="Arial" w:cs="Arial"/>
          <w:sz w:val="22"/>
          <w:szCs w:val="22"/>
        </w:rPr>
      </w:pPr>
    </w:p>
    <w:sectPr w:rsidR="00CD0E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E2" w:rsidRDefault="000E4CE2">
      <w:r>
        <w:separator/>
      </w:r>
    </w:p>
  </w:endnote>
  <w:endnote w:type="continuationSeparator" w:id="0">
    <w:p w:rsidR="000E4CE2" w:rsidRDefault="000E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61" w:rsidRDefault="00CD0E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800736"/>
      <w:docPartObj>
        <w:docPartGallery w:val="Page Numbers (Bottom of Page)"/>
        <w:docPartUnique/>
      </w:docPartObj>
    </w:sdtPr>
    <w:sdtEndPr/>
    <w:sdtContent>
      <w:p w:rsidR="00CD0E61" w:rsidRDefault="000E4C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0E61" w:rsidRDefault="00CD0E6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61" w:rsidRDefault="00CD0E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E2" w:rsidRDefault="000E4CE2">
      <w:r>
        <w:separator/>
      </w:r>
    </w:p>
  </w:footnote>
  <w:footnote w:type="continuationSeparator" w:id="0">
    <w:p w:rsidR="000E4CE2" w:rsidRDefault="000E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61" w:rsidRDefault="00CD0E6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61" w:rsidRDefault="00CD0E6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61" w:rsidRDefault="00CD0E6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0F2C"/>
    <w:multiLevelType w:val="multilevel"/>
    <w:tmpl w:val="A55A1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C2262B8"/>
    <w:multiLevelType w:val="multilevel"/>
    <w:tmpl w:val="59662D5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5BB14E06"/>
    <w:multiLevelType w:val="multilevel"/>
    <w:tmpl w:val="17CAE302"/>
    <w:lvl w:ilvl="0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61"/>
    <w:rsid w:val="00001DC9"/>
    <w:rsid w:val="000E4CE2"/>
    <w:rsid w:val="00C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3D6E1-CAAF-4D75-96DF-4AFCA872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5">
    <w:name w:val="xl65"/>
    <w:basedOn w:val="Normal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pPr>
      <w:spacing w:before="100" w:beforeAutospacing="1" w:after="100" w:afterAutospacing="1"/>
    </w:pPr>
  </w:style>
  <w:style w:type="paragraph" w:customStyle="1" w:styleId="xl68">
    <w:name w:val="xl68"/>
    <w:basedOn w:val="Normal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78">
    <w:name w:val="xl78"/>
    <w:basedOn w:val="Normal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83">
    <w:name w:val="xl83"/>
    <w:basedOn w:val="Normal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84">
    <w:name w:val="xl84"/>
    <w:basedOn w:val="Normal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85">
    <w:name w:val="xl85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7129</Words>
  <Characters>40638</Characters>
  <Application>Microsoft Office Word</Application>
  <DocSecurity>0</DocSecurity>
  <Lines>338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2026-03-31T08:21:00Z</cp:lastPrinted>
  <dcterms:created xsi:type="dcterms:W3CDTF">2026-03-31T12:18:00Z</dcterms:created>
  <dcterms:modified xsi:type="dcterms:W3CDTF">2026-03-31T12:18:00Z</dcterms:modified>
</cp:coreProperties>
</file>