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55" w:rsidRDefault="006A33DC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E1C55">
        <w:tc>
          <w:tcPr>
            <w:tcW w:w="6379" w:type="dxa"/>
          </w:tcPr>
          <w:p w:rsidR="006E1C55" w:rsidRDefault="006A33DC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OSNOVNA ŠKOLA STOBREČ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:rsidR="006E1C55" w:rsidRDefault="006A33DC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Ivankova 13, 21311 Stobreč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400-02/25-01/9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2181-170-25-1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Stobreč, 30.09.2025.g.</w:t>
            </w:r>
          </w:p>
        </w:tc>
        <w:tc>
          <w:tcPr>
            <w:tcW w:w="2693" w:type="dxa"/>
          </w:tcPr>
          <w:p w:rsidR="006E1C55" w:rsidRDefault="006A33DC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6E1C55" w:rsidRDefault="006E1C55">
      <w:pPr>
        <w:ind w:left="0" w:firstLine="0"/>
      </w:pPr>
    </w:p>
    <w:p w:rsidR="006E1C55" w:rsidRDefault="006A33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Broj RKP: 1621</w:t>
      </w:r>
      <w:r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Razina: 31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E1C55" w:rsidRDefault="006A33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Matični broj škole: 01374800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Šifra dj.:8520 </w:t>
      </w:r>
    </w:p>
    <w:p w:rsidR="006E1C55" w:rsidRDefault="006A33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OIB škole: 87172411947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Razdjel:000 </w:t>
      </w:r>
    </w:p>
    <w:p w:rsidR="006E1C55" w:rsidRDefault="006E1C55">
      <w:pPr>
        <w:ind w:left="0" w:firstLine="0"/>
        <w:rPr>
          <w:rFonts w:ascii="Arial" w:hAnsi="Arial" w:cs="Arial"/>
          <w:sz w:val="22"/>
        </w:rPr>
      </w:pPr>
      <w:bookmarkStart w:id="2" w:name="_Hlk182556693"/>
      <w:bookmarkStart w:id="3" w:name="_Hlk182556769"/>
    </w:p>
    <w:bookmarkEnd w:id="2"/>
    <w:bookmarkEnd w:id="3"/>
    <w:p w:rsidR="006E1C55" w:rsidRDefault="006E1C55">
      <w:pPr>
        <w:ind w:left="0" w:firstLine="0"/>
        <w:rPr>
          <w:rFonts w:ascii="Arial" w:hAnsi="Arial" w:cs="Arial"/>
          <w:sz w:val="22"/>
        </w:rPr>
      </w:pPr>
    </w:p>
    <w:p w:rsidR="006E1C55" w:rsidRDefault="006A33DC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OBRAZLOŽENJE  IZMJENA I DOPUNA PRIJEDLOGA  (I. REBALANSA) FINANCIJSKOG PLANA ZA </w:t>
      </w:r>
    </w:p>
    <w:p w:rsidR="006E1C55" w:rsidRDefault="006E1C55">
      <w:pPr>
        <w:spacing w:after="0"/>
        <w:jc w:val="center"/>
        <w:rPr>
          <w:rFonts w:ascii="Arial" w:hAnsi="Arial" w:cs="Arial"/>
          <w:b/>
          <w:sz w:val="22"/>
        </w:rPr>
      </w:pPr>
    </w:p>
    <w:p w:rsidR="006E1C55" w:rsidRDefault="006A33DC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2025.g.</w:t>
      </w:r>
    </w:p>
    <w:p w:rsidR="006E1C55" w:rsidRDefault="006E1C55">
      <w:pPr>
        <w:spacing w:after="0"/>
        <w:jc w:val="both"/>
        <w:rPr>
          <w:rFonts w:ascii="Arial" w:hAnsi="Arial" w:cs="Arial"/>
          <w:b/>
          <w:sz w:val="22"/>
        </w:rPr>
      </w:pPr>
    </w:p>
    <w:p w:rsidR="006E1C55" w:rsidRDefault="006E1C55">
      <w:pPr>
        <w:spacing w:after="0"/>
        <w:jc w:val="both"/>
        <w:rPr>
          <w:rFonts w:ascii="Arial" w:hAnsi="Arial" w:cs="Arial"/>
          <w:b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1.Sažetak djelokruga rada proračunskog korisnika </w:t>
      </w:r>
    </w:p>
    <w:p w:rsidR="006E1C55" w:rsidRDefault="006E1C55">
      <w:pPr>
        <w:spacing w:after="0"/>
        <w:jc w:val="both"/>
        <w:rPr>
          <w:rFonts w:ascii="Arial" w:hAnsi="Arial" w:cs="Arial"/>
          <w:b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Osnovna škola Stobreč obavlja javnu djelatnost sukladno Zakonu o odgoju i obrazovanju u osnovnoj i srednjoj školi. U školi se izvodi redovna, izborna, dodatna nastava, dopunska nastava i izvannastavne akti</w:t>
      </w:r>
      <w:r>
        <w:rPr>
          <w:rFonts w:ascii="Arial" w:hAnsi="Arial" w:cs="Arial"/>
          <w:sz w:val="22"/>
        </w:rPr>
        <w:t>vnosti sukladno Nacionalnom kurikulumu Republike Hrvatske za osnovnoškolski odgoj i obrazovanje.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Godišnjem planu i programu rada Škole, te Školskom kurikulumu za školsku godinu 2024./2025.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Školu pohađa 310 učenika do kraja 06/2025.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Školu trenutno pohađa 3</w:t>
      </w:r>
      <w:r>
        <w:rPr>
          <w:rFonts w:ascii="Arial" w:hAnsi="Arial" w:cs="Arial"/>
          <w:sz w:val="22"/>
        </w:rPr>
        <w:t>05 učenika raspoređenih u 16 razrednih odjela; 8 odjela razredne nastave i 8 odjela predmetne nastave. Nastava se odvija u petodnevnom radnom tjednu u jutarnjoj smjeni za odjele od četvrtog do osmog razreda, a u međusmjeni za prve, druge  i treće razrede.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Škola nema školsku športsku dvoranu što predstavlja veliki problem za učenike. Dvorana je trenutno u fazi izgradnje.</w:t>
      </w: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Nedostatak objekta škole je neadekvatan prometni pristup, bez nogostupa, koji je djelomično riješen, pa se učenici moraju kretati vrlo pro</w:t>
      </w:r>
      <w:r>
        <w:rPr>
          <w:rFonts w:ascii="Arial" w:hAnsi="Arial" w:cs="Arial"/>
          <w:sz w:val="22"/>
        </w:rPr>
        <w:t xml:space="preserve">metnom i uskom ulicom. </w:t>
      </w: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školi je ukupno 34 djelatnika i 6 pomoćnika u nastavi.</w:t>
      </w: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E1C55">
      <w:pPr>
        <w:spacing w:after="0"/>
        <w:ind w:left="0" w:firstLine="0"/>
        <w:jc w:val="both"/>
        <w:rPr>
          <w:rFonts w:ascii="Arial" w:hAnsi="Arial" w:cs="Arial"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2.Obrazloženje programa rada školske ustanove</w:t>
      </w: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Prioritet škole je kvalitetno obrazovanje i odgoj učenika što ostvarujemo:  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stalnim usavršavanjem odgojnoobrazovnih radnik</w:t>
      </w:r>
      <w:r>
        <w:rPr>
          <w:rFonts w:ascii="Arial" w:hAnsi="Arial" w:cs="Arial"/>
          <w:sz w:val="22"/>
        </w:rPr>
        <w:t>a (seminari, stručni skupovi, aktivi, edukacija) i podizanjem nastavnog standarda na višu razinu, sve u skladu s našim mogućnostima obzirom na nedostatna  financijska sredstva;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poticanjem učenika na izražavanje kreativnosti, talenata i sposobnosti kroz u</w:t>
      </w:r>
      <w:r>
        <w:rPr>
          <w:rFonts w:ascii="Arial" w:hAnsi="Arial" w:cs="Arial"/>
          <w:sz w:val="22"/>
        </w:rPr>
        <w:t>ključivanje u slobodne aktivnosti, natjecanja, prijave na literarne i likovne natječaje, školske projekte, priredbe i manifestacije u školi i šire;</w:t>
      </w: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organiziranjem zajedničkih aktivnosti učenika i nastavnika tijekom izvannastavnih aktivnosti i druženja k</w:t>
      </w:r>
      <w:r>
        <w:rPr>
          <w:rFonts w:ascii="Arial" w:hAnsi="Arial" w:cs="Arial"/>
          <w:sz w:val="22"/>
        </w:rPr>
        <w:t>roz kolektivno upoznavanje kulturne i duhovne baštine.</w:t>
      </w:r>
    </w:p>
    <w:p w:rsidR="006E1C55" w:rsidRDefault="006E1C55">
      <w:pPr>
        <w:spacing w:after="0"/>
        <w:ind w:left="0" w:firstLine="0"/>
        <w:jc w:val="both"/>
        <w:rPr>
          <w:rFonts w:ascii="Arial" w:hAnsi="Arial" w:cs="Arial"/>
          <w:sz w:val="22"/>
        </w:rPr>
      </w:pP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3. Zakonske i druge podloge na kojima se zasniva program rada škole</w:t>
      </w:r>
    </w:p>
    <w:p w:rsidR="006E1C55" w:rsidRDefault="006E1C55">
      <w:pPr>
        <w:spacing w:after="0"/>
        <w:jc w:val="both"/>
        <w:rPr>
          <w:rFonts w:ascii="Arial" w:hAnsi="Arial" w:cs="Arial"/>
          <w:b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Zakon o odgoju i obrazovanju u osnovnoj i srednjoj školi, (NN br. 87/08, 86/09, 92/10, 105/10, 90/11, 5/12, 16/12, 86/12, 126/12, 94/13, 152/14, 7/17, 68/18, 98/19,64/20, 151/22, 156/23)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Zakon o ustanovama, (NN br. 76/93, 29/97, 47/99, 35/08)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Zakon o p</w:t>
      </w:r>
      <w:r>
        <w:rPr>
          <w:rFonts w:ascii="Arial" w:hAnsi="Arial" w:cs="Arial"/>
          <w:sz w:val="22"/>
        </w:rPr>
        <w:t>roračunu, (NN br. 87/08, 136/12, 15/15), Pravilnik o proračunskim klasifikacijama (NN br. 26/10, 120/13) i Pravilnik o proračunskom računovodstvu i računskom planu (NN br. 124/14, 115/15, 87/16)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Godišnji plan i program rada Osnovne škole Stobreč za šk. g</w:t>
      </w:r>
      <w:r>
        <w:rPr>
          <w:rFonts w:ascii="Arial" w:hAnsi="Arial" w:cs="Arial"/>
          <w:sz w:val="22"/>
        </w:rPr>
        <w:t>od. 2023/2024.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Školski kurikulum za šk. god. 2023/2024.g. (nastavne i izvannastavne aktivnosti)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 kriterijima, mjerilima i načinu financiranja decentraliziranih funkcija osnovnog školstva Grada Splita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Zaključak o kriterijima i načinu korišt</w:t>
      </w:r>
      <w:r>
        <w:rPr>
          <w:rFonts w:ascii="Arial" w:hAnsi="Arial" w:cs="Arial"/>
          <w:sz w:val="22"/>
        </w:rPr>
        <w:t>enja vlastitih prihoda osnovnih škola čiji je osnivač Grad Split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Statut OŠ Stobreč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 radu OŠ Stobreč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 tjednim radnim obvezama učitelja i stručnih suradnika u osnovnoj školi (NN br. 34/14, 40/14, 103/14, 102/19)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 napr</w:t>
      </w:r>
      <w:r>
        <w:rPr>
          <w:rFonts w:ascii="Arial" w:hAnsi="Arial" w:cs="Arial"/>
          <w:sz w:val="22"/>
        </w:rPr>
        <w:t>edovanju učitelja, nastavnika, stručnih suradnika i ravnatelja u osnovnim i srednjim školama i učeničkim domovima (NN br. 68/19, 60/20, 32/21)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 izvođenju izleta, ekskurzija i drugih odgojno-obrazovnih aktivnosti izvan škole (NN 67/14, 81/15, 5</w:t>
      </w:r>
      <w:r>
        <w:rPr>
          <w:rFonts w:ascii="Arial" w:hAnsi="Arial" w:cs="Arial"/>
          <w:sz w:val="22"/>
        </w:rPr>
        <w:t>3/21)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 postupku utvrđivanja psihofizičkog stanja djeteta, učenika te sastavu stručnih povjerenstava (NN  br. 67/14, 63/20)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Pravilnik o osnovnoškolskom i srednjoškolskom odgoju i obrazovanju učenika s teškoćama u razvoju (NN br. 24/15)</w:t>
      </w: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4.Us</w:t>
      </w:r>
      <w:r>
        <w:rPr>
          <w:rFonts w:ascii="Arial" w:hAnsi="Arial" w:cs="Arial"/>
          <w:b/>
          <w:sz w:val="22"/>
        </w:rPr>
        <w:t>klađenost ciljeva, strategije programa s dokumentima dugoročnog razvoja</w:t>
      </w: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Školske ustanove ne donose strateške već godišnje operativne planove prema planu i programu koje je donijelo Ministarstvo znanosti i obrazovanja RH. Vertikala usklađivanja ciljeva i p</w:t>
      </w:r>
      <w:r>
        <w:rPr>
          <w:rFonts w:ascii="Arial" w:hAnsi="Arial" w:cs="Arial"/>
          <w:sz w:val="22"/>
        </w:rPr>
        <w:t>rograma MZOM-a - jedinice lokalne (regionalne) samouprave - školske ustanove još nije provedena.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Također, planovi se donose za nastavnu, a ne fiskalnu godinu. To je uzrok mnogim odstupanjima u izvršenju financijskih planova, npr. pomak određenih aktivnosti</w:t>
      </w:r>
      <w:r>
        <w:rPr>
          <w:rFonts w:ascii="Arial" w:hAnsi="Arial" w:cs="Arial"/>
          <w:sz w:val="22"/>
        </w:rPr>
        <w:t xml:space="preserve"> unutar školske godine iz jednog polugodišta u drugo uzrokuje promjene u izvršenju financijskog plana za dvije fiskalne godine.</w:t>
      </w:r>
    </w:p>
    <w:p w:rsidR="006E1C55" w:rsidRDefault="006E1C55">
      <w:pPr>
        <w:spacing w:after="0"/>
        <w:ind w:left="0" w:firstLine="0"/>
        <w:jc w:val="both"/>
        <w:rPr>
          <w:rFonts w:ascii="Arial" w:hAnsi="Arial" w:cs="Arial"/>
          <w:sz w:val="22"/>
        </w:rPr>
      </w:pP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5. Ishodište i pokazatelji na kojima se zasnivaju izračuni i ocjene potrebnih sredstava za provođenje programa</w:t>
      </w: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Izvori sredsta</w:t>
      </w:r>
      <w:r>
        <w:rPr>
          <w:rFonts w:ascii="Arial" w:hAnsi="Arial" w:cs="Arial"/>
          <w:sz w:val="22"/>
        </w:rPr>
        <w:t>va za financiranje rada škole su:</w:t>
      </w: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Opći  prihodi i primitci, državni proračun za financiranje rashoda za zaposlene;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Opći prihodi i primitci, regionalni proračun za materijalne troškove poslovanja te održavanje i obnovu nefinancijske imovine;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Vlastiti prihodi od prodaje starog željeza od starih stolova i stolica, za provedbu dodatnih aktivnosti škole prema planu i programu rada, te obnovu nefinancijske imovine;</w:t>
      </w: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  <w:t>Prihodi po posebnim propisima, sastoje se od prihoda od  rada učeničke zadruge, pr</w:t>
      </w:r>
      <w:r>
        <w:rPr>
          <w:rFonts w:ascii="Arial" w:hAnsi="Arial" w:cs="Arial"/>
          <w:sz w:val="22"/>
        </w:rPr>
        <w:t>ihodi od naknade štete za tablete, prihodi za osiguranje učenika</w:t>
      </w: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A33D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</w:t>
      </w:r>
    </w:p>
    <w:p w:rsidR="006E1C55" w:rsidRDefault="006A33DC">
      <w:pPr>
        <w:ind w:left="0" w:firstLine="0"/>
        <w:rPr>
          <w:rFonts w:ascii="Arial" w:eastAsia="Arial" w:hAnsi="Arial" w:cs="Arial"/>
          <w:color w:val="auto"/>
          <w:sz w:val="22"/>
        </w:rPr>
      </w:pPr>
      <w:r>
        <w:rPr>
          <w:rFonts w:ascii="Arial" w:eastAsia="Arial" w:hAnsi="Arial" w:cs="Arial"/>
          <w:color w:val="auto"/>
          <w:sz w:val="22"/>
        </w:rPr>
        <w:t>U nastavku se prikazuje osnovni plan koji je planiran u 2024.godini, a u Obrazloženjima se navode promjene i razlozi do kojih je došlo na pojedinim aktivnostima.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</w:t>
      </w:r>
      <w:r>
        <w:rPr>
          <w:rFonts w:ascii="Arial" w:eastAsia="Arial" w:hAnsi="Arial" w:cs="Arial"/>
          <w:sz w:val="22"/>
        </w:rPr>
        <w:tab/>
      </w:r>
    </w:p>
    <w:p w:rsidR="006E1C55" w:rsidRDefault="006A33DC">
      <w:pPr>
        <w:ind w:firstLine="710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Prihodi iz državnog proračuna  5.3.1.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         </w:t>
      </w:r>
      <w:r>
        <w:rPr>
          <w:rFonts w:ascii="Arial" w:eastAsia="Arial" w:hAnsi="Arial" w:cs="Arial"/>
          <w:sz w:val="22"/>
        </w:rPr>
        <w:t>Prihodi nisu planirani isključivo u skladu s propisanim indeksom rasta za tu vrstu rashoda, jer je bilo potrebno uzeti u obzir povećanje izdataka zbog povećanja dodataka na staž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(0,5% po godini staža).</w:t>
      </w:r>
    </w:p>
    <w:p w:rsidR="006E1C55" w:rsidRDefault="006A33DC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R</w:t>
      </w:r>
      <w:r>
        <w:rPr>
          <w:rFonts w:ascii="Arial" w:eastAsia="Arial" w:hAnsi="Arial" w:cs="Arial"/>
          <w:sz w:val="22"/>
        </w:rPr>
        <w:t>ashodi za zaposlene (31)(plaće, doprinos za zdravstveno,regres,božićnica,dar djeci,naknada za bolest i smrt, uskrsnica) planirani su u iznosu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1.112.400 €</w:t>
      </w:r>
    </w:p>
    <w:p w:rsidR="006E1C55" w:rsidRDefault="006A33DC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Materijalni rashodi (32)za zaposlene planirani su u iznosu </w:t>
      </w:r>
      <w:r>
        <w:rPr>
          <w:rFonts w:ascii="Arial" w:eastAsia="Arial" w:hAnsi="Arial" w:cs="Arial"/>
          <w:sz w:val="22"/>
        </w:rPr>
        <w:tab/>
        <w:t xml:space="preserve">             2</w:t>
      </w:r>
      <w:r>
        <w:rPr>
          <w:rFonts w:ascii="Arial" w:eastAsia="Arial" w:hAnsi="Arial" w:cs="Arial"/>
          <w:sz w:val="22"/>
        </w:rPr>
        <w:t>0.600 €</w:t>
      </w:r>
    </w:p>
    <w:p w:rsidR="006E1C55" w:rsidRDefault="006A33DC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Materijalni rashodi (32) prehrana učenika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84.000 €</w:t>
      </w:r>
    </w:p>
    <w:p w:rsidR="006E1C55" w:rsidRDefault="006A33DC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Rashodi za nabavu radnih udžbenika  (37)su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12.000 €</w:t>
      </w:r>
    </w:p>
    <w:p w:rsidR="006E1C55" w:rsidRDefault="006A33DC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Rashodi za nabavu udžbenika (42)su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12.000 €</w:t>
      </w:r>
    </w:p>
    <w:p w:rsidR="006E1C55" w:rsidRDefault="006A33DC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Rashodi za nabavu lektire (42) od MZOM-a su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500 €</w:t>
      </w:r>
    </w:p>
    <w:p w:rsidR="006E1C55" w:rsidRDefault="006A33DC">
      <w:pPr>
        <w:spacing w:line="36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Planirani ukupni  prihod </w:t>
      </w:r>
      <w:r>
        <w:rPr>
          <w:rFonts w:ascii="Arial" w:eastAsia="Arial" w:hAnsi="Arial" w:cs="Arial"/>
          <w:sz w:val="22"/>
        </w:rPr>
        <w:t>/ rashod od MZOM za 2025.god je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  </w:t>
      </w:r>
      <w:r>
        <w:rPr>
          <w:rFonts w:ascii="Arial" w:eastAsia="Arial" w:hAnsi="Arial" w:cs="Arial"/>
          <w:b/>
          <w:sz w:val="22"/>
        </w:rPr>
        <w:t>1.241.500 eur</w:t>
      </w:r>
    </w:p>
    <w:p w:rsidR="006E1C55" w:rsidRDefault="006E1C55">
      <w:pPr>
        <w:ind w:left="0" w:firstLine="0"/>
        <w:rPr>
          <w:rFonts w:ascii="Arial" w:eastAsia="Arial" w:hAnsi="Arial" w:cs="Arial"/>
          <w:sz w:val="22"/>
        </w:rPr>
      </w:pPr>
    </w:p>
    <w:p w:rsidR="006E1C55" w:rsidRDefault="006A33DC">
      <w:pPr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            </w:t>
      </w:r>
      <w:r>
        <w:rPr>
          <w:rFonts w:ascii="Arial" w:eastAsia="Arial" w:hAnsi="Arial" w:cs="Arial"/>
          <w:b/>
          <w:sz w:val="22"/>
        </w:rPr>
        <w:t>Prihodi od Grada</w:t>
      </w:r>
    </w:p>
    <w:p w:rsidR="006E1C55" w:rsidRDefault="006A33DC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-  </w:t>
      </w:r>
      <w:r>
        <w:rPr>
          <w:rFonts w:ascii="Arial" w:eastAsia="Arial" w:hAnsi="Arial" w:cs="Arial"/>
          <w:sz w:val="22"/>
        </w:rPr>
        <w:t xml:space="preserve">Prihode za financiranje rashoda koji se financiraju iz Grada, a planirani su prema zadanim kriterijima iz Uputa Grada za 2025. god. iznose ukupno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b/>
          <w:sz w:val="22"/>
        </w:rPr>
        <w:t>155.434 €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- </w:t>
      </w:r>
      <w:r>
        <w:rPr>
          <w:rFonts w:ascii="Arial" w:eastAsia="Arial" w:hAnsi="Arial" w:cs="Arial"/>
          <w:b/>
          <w:sz w:val="22"/>
        </w:rPr>
        <w:t>DECENTRALIZIRANE FUNKCIJE 1.1.2. ukupno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b/>
          <w:sz w:val="22"/>
        </w:rPr>
        <w:t>62.700 €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a to dijelimo na                            -rashode prema opsegu djelatnosti       </w:t>
      </w:r>
      <w:r>
        <w:rPr>
          <w:rFonts w:ascii="Arial" w:eastAsia="Arial" w:hAnsi="Arial" w:cs="Arial"/>
          <w:sz w:val="22"/>
        </w:rPr>
        <w:tab/>
        <w:t xml:space="preserve">            59.500 €</w:t>
      </w:r>
    </w:p>
    <w:p w:rsidR="006E1C55" w:rsidRDefault="006A33DC">
      <w:pPr>
        <w:ind w:left="2832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- energente 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    24.929 €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-zdravstvene preglede zaposlenika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 xml:space="preserve">             </w:t>
      </w:r>
      <w:r>
        <w:rPr>
          <w:rFonts w:ascii="Arial" w:eastAsia="Arial" w:hAnsi="Arial" w:cs="Arial"/>
          <w:sz w:val="22"/>
        </w:rPr>
        <w:tab/>
        <w:t xml:space="preserve"> 2.400 €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-kapitalna ulaganja u opremu (42)                      </w:t>
      </w:r>
      <w:r>
        <w:rPr>
          <w:rFonts w:ascii="Arial" w:eastAsia="Arial" w:hAnsi="Arial" w:cs="Arial"/>
          <w:sz w:val="22"/>
        </w:rPr>
        <w:tab/>
        <w:t xml:space="preserve"> 3.200 €</w:t>
      </w:r>
      <w:r>
        <w:rPr>
          <w:rFonts w:ascii="Arial" w:eastAsia="Arial" w:hAnsi="Arial" w:cs="Arial"/>
          <w:sz w:val="22"/>
        </w:rPr>
        <w:tab/>
      </w:r>
    </w:p>
    <w:p w:rsidR="006E1C55" w:rsidRDefault="006E1C55">
      <w:pPr>
        <w:ind w:left="0" w:firstLine="0"/>
        <w:rPr>
          <w:rFonts w:ascii="Arial" w:eastAsia="Arial" w:hAnsi="Arial" w:cs="Arial"/>
          <w:b/>
          <w:sz w:val="22"/>
        </w:rPr>
      </w:pP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- ŠIRE JAVNE POTREBE IZNAD MINIMALNOG STANDARDA 1.1.1</w:t>
      </w:r>
      <w:r>
        <w:rPr>
          <w:rFonts w:ascii="Arial" w:eastAsia="Arial" w:hAnsi="Arial" w:cs="Arial"/>
          <w:sz w:val="22"/>
        </w:rPr>
        <w:t>. ukupno ide</w:t>
      </w:r>
    </w:p>
    <w:p w:rsidR="006E1C55" w:rsidRDefault="006A33DC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b/>
          <w:sz w:val="22"/>
        </w:rPr>
        <w:t>15.184 €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 to dijelimo na: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-KMT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664 €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-Dioklecijanova škrinjica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>400 €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-PROMETNI POLIGON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400 €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-BLAGO NAŠEG MARJANA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400 €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-MALA SPLITSKA DEBATA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    150 €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-HITNE INTERVENCIJE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600 €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-PROJEKT E-ŠKOLE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  2930 €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- NABAVKA LEKTIRE (42)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          640 €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>-PREHRANA UČENIKA-RAZLIKA</w:t>
      </w:r>
      <w:r>
        <w:rPr>
          <w:rFonts w:ascii="Arial" w:eastAsia="Arial" w:hAnsi="Arial" w:cs="Arial"/>
          <w:sz w:val="22"/>
        </w:rPr>
        <w:tab/>
        <w:t xml:space="preserve">         9.000 €</w:t>
      </w:r>
    </w:p>
    <w:p w:rsidR="006E1C55" w:rsidRDefault="006E1C55">
      <w:pPr>
        <w:rPr>
          <w:rFonts w:ascii="Arial" w:eastAsia="Arial" w:hAnsi="Arial" w:cs="Arial"/>
          <w:sz w:val="22"/>
        </w:rPr>
      </w:pPr>
    </w:p>
    <w:p w:rsidR="006E1C55" w:rsidRDefault="006A33DC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POMOĆI TEMELJEM PRIJENOSA EU SREDSTAVA –PRIJENOSI PK 5.2.2.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Arial" w:hAnsi="Arial" w:cs="Arial"/>
          <w:sz w:val="22"/>
        </w:rPr>
        <w:t xml:space="preserve">S pomoćnikom mogu bolje VII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b/>
          <w:sz w:val="22"/>
        </w:rPr>
        <w:tab/>
        <w:t>77.550 €</w:t>
      </w:r>
    </w:p>
    <w:p w:rsidR="006E1C55" w:rsidRDefault="006E1C55">
      <w:pPr>
        <w:ind w:left="0" w:firstLine="0"/>
        <w:rPr>
          <w:rFonts w:ascii="Arial" w:eastAsia="Arial" w:hAnsi="Arial" w:cs="Arial"/>
          <w:b/>
          <w:sz w:val="22"/>
        </w:rPr>
      </w:pPr>
    </w:p>
    <w:p w:rsidR="006E1C55" w:rsidRDefault="006A33DC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Vlastiti prihodi 3.1.1.  (64)  5 €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Prihodi od kamata po žiro računu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5 €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Imamo i planirani višak(92) </w:t>
      </w:r>
      <w:r>
        <w:rPr>
          <w:rFonts w:ascii="Arial" w:eastAsia="Arial" w:hAnsi="Arial" w:cs="Arial"/>
          <w:sz w:val="22"/>
        </w:rPr>
        <w:t xml:space="preserve">u iznosu od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330 €</w:t>
      </w:r>
    </w:p>
    <w:p w:rsidR="006E1C55" w:rsidRDefault="006E1C55">
      <w:pPr>
        <w:rPr>
          <w:rFonts w:ascii="Arial" w:eastAsia="Arial" w:hAnsi="Arial" w:cs="Arial"/>
          <w:sz w:val="22"/>
        </w:rPr>
      </w:pPr>
    </w:p>
    <w:p w:rsidR="006E1C55" w:rsidRDefault="006A33DC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Vlastiti prihodi za posebne namjene 4.3.1. ukupno 2.545 €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Prihodi od Zadruge (66)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245 €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Prihodi s osnove osiguranja učenika (65)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1500 €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Prihodi za prijevoz učenika na izlet (roditelji)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800 €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Imamo i planirani višak (92) u iznosu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1500€</w:t>
      </w:r>
    </w:p>
    <w:p w:rsidR="006E1C55" w:rsidRDefault="006E1C55">
      <w:pPr>
        <w:rPr>
          <w:rFonts w:ascii="Arial" w:eastAsia="Arial" w:hAnsi="Arial" w:cs="Arial"/>
          <w:sz w:val="22"/>
        </w:rPr>
      </w:pPr>
    </w:p>
    <w:p w:rsidR="006E1C55" w:rsidRDefault="006A33DC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Donacije prihodi 6.1.1.  (66)  150 €</w:t>
      </w:r>
    </w:p>
    <w:p w:rsidR="006E1C55" w:rsidRDefault="006A33DC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>Prihodi od donacija fizičkih osoba za lektiru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150 €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Imamo i planirani višak (92) od donacija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690 €</w:t>
      </w:r>
    </w:p>
    <w:p w:rsidR="006E1C55" w:rsidRDefault="006E1C55">
      <w:pPr>
        <w:ind w:left="0" w:firstLine="0"/>
        <w:rPr>
          <w:rFonts w:ascii="Arial" w:eastAsia="Arial" w:hAnsi="Arial" w:cs="Arial"/>
          <w:sz w:val="22"/>
        </w:rPr>
      </w:pPr>
    </w:p>
    <w:p w:rsidR="006E1C55" w:rsidRDefault="006A33DC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Prihod iz Županijskog proračuna 5.4.1.  (63)  326 €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Planirali s</w:t>
      </w:r>
      <w:r>
        <w:rPr>
          <w:rFonts w:ascii="Arial" w:eastAsia="Arial" w:hAnsi="Arial" w:cs="Arial"/>
          <w:sz w:val="22"/>
        </w:rPr>
        <w:t xml:space="preserve">mo i prihod od Županije za fin.rashoda županijskih povjerenstava u iznosu od 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Prihod od prodaje ulja CI SDŽ za projekt Dalmatinski suvenir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226 €</w:t>
      </w:r>
    </w:p>
    <w:p w:rsidR="006E1C55" w:rsidRDefault="006A33D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Naknade članovima županijskih povjerenstava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  100 €</w:t>
      </w:r>
    </w:p>
    <w:p w:rsidR="006E1C55" w:rsidRDefault="006A33DC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Imamo planirani višak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170 €</w:t>
      </w:r>
    </w:p>
    <w:p w:rsidR="006E1C55" w:rsidRDefault="006E1C55">
      <w:pPr>
        <w:spacing w:after="0"/>
        <w:jc w:val="both"/>
        <w:rPr>
          <w:rFonts w:ascii="Arial" w:hAnsi="Arial" w:cs="Arial"/>
          <w:b/>
          <w:sz w:val="22"/>
        </w:rPr>
      </w:pP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E1C55">
      <w:pPr>
        <w:spacing w:after="0"/>
        <w:jc w:val="both"/>
        <w:rPr>
          <w:rFonts w:ascii="Arial" w:hAnsi="Arial" w:cs="Arial"/>
          <w:sz w:val="22"/>
        </w:rPr>
      </w:pPr>
    </w:p>
    <w:p w:rsidR="006E1C55" w:rsidRDefault="006A33DC">
      <w:pPr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OBRAZLOŽENJE I</w:t>
      </w:r>
      <w:r>
        <w:rPr>
          <w:rFonts w:ascii="Arial" w:hAnsi="Arial" w:cs="Arial"/>
          <w:b/>
          <w:sz w:val="22"/>
        </w:rPr>
        <w:t>ZMJENA I DOPUNA PRIJEDLOGA  (I.REBALANSA)  FINANCIJSKOG PLANA 2025. (POSEBNI DIO)</w:t>
      </w:r>
    </w:p>
    <w:p w:rsidR="006E1C55" w:rsidRDefault="006A33DC">
      <w:pPr>
        <w:spacing w:after="0"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PO PROGRAMIMA I AKTIVNOSTIMA</w:t>
      </w:r>
    </w:p>
    <w:p w:rsidR="006E1C55" w:rsidRDefault="006A33DC">
      <w:pPr>
        <w:spacing w:after="0"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RAZDJEL: 103 UPRAVNI ODJEL ZA DRUŠTVENE DJELATNOST</w:t>
      </w:r>
    </w:p>
    <w:p w:rsidR="006E1C55" w:rsidRDefault="006A33DC">
      <w:pPr>
        <w:spacing w:after="0"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ODSJEK: ODSJEK ZA ODGOJ, OBRAZOVANJE, ZNANOST I TEHNIČKU KULTURU</w:t>
      </w:r>
    </w:p>
    <w:p w:rsidR="006E1C55" w:rsidRDefault="006E1C55">
      <w:pPr>
        <w:spacing w:after="0" w:line="36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highlight w:val="cyan"/>
        </w:rPr>
        <w:t>PROGRAM: 3200 Decentralizira</w:t>
      </w:r>
      <w:r>
        <w:rPr>
          <w:rFonts w:ascii="Arial" w:hAnsi="Arial" w:cs="Arial"/>
          <w:b/>
          <w:sz w:val="22"/>
          <w:highlight w:val="cyan"/>
        </w:rPr>
        <w:t>ne funkcije – minimalni financijski standard</w:t>
      </w:r>
    </w:p>
    <w:p w:rsidR="006E1C55" w:rsidRDefault="006E1C55">
      <w:pPr>
        <w:spacing w:after="0" w:line="360" w:lineRule="auto"/>
        <w:ind w:left="0" w:firstLine="0"/>
        <w:rPr>
          <w:rFonts w:ascii="Arial" w:hAnsi="Arial" w:cs="Arial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S023200A320001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REDOVNA PROGRAMSKA DJELATNOST OSNOVNIH ŠKOLA</w:t>
            </w:r>
          </w:p>
        </w:tc>
      </w:tr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1.1.2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PRIHODI ZA DECENTRALIZIRANE FUNKCIJE - PK</w:t>
            </w:r>
          </w:p>
          <w:p w:rsidR="006E1C55" w:rsidRDefault="006E1C5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</w:p>
        </w:tc>
      </w:tr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</w:tcPr>
          <w:p w:rsidR="006E1C55" w:rsidRDefault="006E1C5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</w:tcPr>
          <w:p w:rsidR="006E1C55" w:rsidRDefault="006E1C5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</w:p>
        </w:tc>
      </w:tr>
    </w:tbl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PLANIRANI IZNOS: 59.500,00 €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NOVI IZNOS: 46.329,00 €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360" w:lineRule="auto"/>
        <w:ind w:left="11" w:hanging="1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OBRAZLOŽENJE: </w:t>
      </w:r>
      <w:r>
        <w:rPr>
          <w:rFonts w:ascii="Arial" w:hAnsi="Arial" w:cs="Arial"/>
          <w:sz w:val="22"/>
        </w:rPr>
        <w:t>prema Odluci grada od 01.07.2025.  škola bi na ovoj aktivnosti trebali imati planirano 63.529,00 €. Ove godine se započela  gradnja dvorane i dodatnih učionica. Budući da se više nećemo grijati na lož ulje (20.000,00 €) jer su nam ovo ljeto uslijed energet</w:t>
      </w:r>
      <w:r>
        <w:rPr>
          <w:rFonts w:ascii="Arial" w:hAnsi="Arial" w:cs="Arial"/>
          <w:sz w:val="22"/>
        </w:rPr>
        <w:t>ske obnove instalirali fenkojlere, zamolili smo grad da nam odobri da ta sredstva preusmjerimo na aktivnost Kapitalnih ulaganja u opremu. Stoga smo veći dio tog iznosa prebacili na Kapitalna ulaganja u opremu, a dio smo prebacili na električnu energiju jer</w:t>
      </w:r>
      <w:r>
        <w:rPr>
          <w:rFonts w:ascii="Arial" w:hAnsi="Arial" w:cs="Arial"/>
          <w:sz w:val="22"/>
        </w:rPr>
        <w:t xml:space="preserve"> smo vidjeli da bi nam na toj poziciji do kraja godine moglo nedostajati sredstava. Što se tiče ostalih pozicija u redovnoj djelatnosti, također smo se vodili prema tome koliko će nam sredstava trebati do kraja godine.</w:t>
      </w:r>
    </w:p>
    <w:p w:rsidR="006E1C55" w:rsidRDefault="006E1C55">
      <w:pPr>
        <w:spacing w:after="0" w:line="360" w:lineRule="auto"/>
        <w:ind w:left="11" w:hanging="11"/>
        <w:rPr>
          <w:rFonts w:ascii="Arial" w:hAnsi="Arial" w:cs="Arial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S023200K320001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KAPITALNA U</w:t>
            </w:r>
            <w:r>
              <w:rPr>
                <w:rFonts w:ascii="Arial" w:eastAsia="Times New Roman" w:hAnsi="Arial" w:cs="Arial"/>
                <w:sz w:val="22"/>
              </w:rPr>
              <w:t>LAGANJA U OPREMU - DECENTRALIZIRANA SREDSTVA</w:t>
            </w:r>
          </w:p>
        </w:tc>
      </w:tr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1.1.2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PRIHODI ZA DECENTRALIZIRANE FUNKCIJE - PK</w:t>
            </w:r>
          </w:p>
        </w:tc>
      </w:tr>
    </w:tbl>
    <w:p w:rsidR="006E1C55" w:rsidRDefault="006E1C55">
      <w:pPr>
        <w:spacing w:after="0" w:line="360" w:lineRule="auto"/>
        <w:ind w:left="11" w:hanging="11"/>
        <w:rPr>
          <w:rFonts w:ascii="Arial" w:hAnsi="Arial" w:cs="Arial"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PLANIRANI IZNOS: 3.200,00 €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NOVI IZNOS: 22.000,00 €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36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OBRAZLOŽENJE: </w:t>
      </w:r>
      <w:r>
        <w:rPr>
          <w:rFonts w:ascii="Arial" w:hAnsi="Arial" w:cs="Arial"/>
          <w:sz w:val="22"/>
        </w:rPr>
        <w:t>razlog zbog kojeg smo grad tražili da nam odobri preusmjeravanje sredstava na ov</w:t>
      </w:r>
      <w:r>
        <w:rPr>
          <w:rFonts w:ascii="Arial" w:hAnsi="Arial" w:cs="Arial"/>
          <w:sz w:val="22"/>
        </w:rPr>
        <w:t xml:space="preserve">e pozicije je zato što trebamo kupiti nova računala za zbornicu, računalo za pedagogicu, laptope za učitelje,zato što većina njih ili ne radi ili je pokvarena i na popravku. Tokom ljeta smo se morali iseliti iz škole, tako da nam dosta školskog namještaja </w:t>
      </w:r>
      <w:r>
        <w:rPr>
          <w:rFonts w:ascii="Arial" w:hAnsi="Arial" w:cs="Arial"/>
          <w:sz w:val="22"/>
        </w:rPr>
        <w:t xml:space="preserve">više nije u funkciji. </w:t>
      </w:r>
    </w:p>
    <w:p w:rsidR="006E1C55" w:rsidRDefault="006E1C55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p w:rsidR="006E1C55" w:rsidRDefault="006E1C55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p w:rsidR="006E1C55" w:rsidRDefault="006E1C55">
      <w:pPr>
        <w:spacing w:after="0" w:line="360" w:lineRule="auto"/>
        <w:ind w:left="0" w:firstLine="0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highlight w:val="cyan"/>
        </w:rPr>
        <w:t>PROGRAM: 3201 Šire javne potrebe -  iznad minimalnog standarda</w:t>
      </w:r>
    </w:p>
    <w:p w:rsidR="006E1C55" w:rsidRDefault="006E1C55">
      <w:pPr>
        <w:spacing w:after="0" w:line="360" w:lineRule="auto"/>
        <w:ind w:left="11" w:hanging="11"/>
        <w:rPr>
          <w:rFonts w:ascii="Arial" w:hAnsi="Arial" w:cs="Arial"/>
          <w:b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S023201A320102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IZVANNASTAVNE I IZVANŠKOLSKE AKTIVNOSTI</w:t>
            </w:r>
          </w:p>
        </w:tc>
      </w:tr>
    </w:tbl>
    <w:p w:rsidR="006E1C55" w:rsidRDefault="006E1C55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PLANIRANI IZNOS: 4.739,00 €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NOVI IZNOS: 8.103,00 € </w:t>
      </w:r>
    </w:p>
    <w:p w:rsidR="006E1C55" w:rsidRDefault="006E1C55">
      <w:pPr>
        <w:spacing w:after="0" w:line="360" w:lineRule="auto"/>
        <w:ind w:left="11" w:hanging="11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360" w:lineRule="auto"/>
        <w:ind w:left="11" w:hanging="1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OBRAZLOŽENJE: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Korigirali smo iznose koji su stvarno utrošeni za prijevoz učenika na Dioklecijanovu škrinjicu i za Blago našeg Marjana (izvor 1.1.1.). </w:t>
      </w:r>
    </w:p>
    <w:p w:rsidR="006E1C55" w:rsidRDefault="006A33DC">
      <w:pPr>
        <w:spacing w:after="0" w:line="360" w:lineRule="auto"/>
        <w:ind w:left="11" w:hanging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Također smo korigirali iznos koji je utrošen za prijevoz na izlete, a koji su financirali roditelji (izvor 4.3.1.)</w:t>
      </w:r>
    </w:p>
    <w:p w:rsidR="006E1C55" w:rsidRDefault="006A33DC">
      <w:pPr>
        <w:spacing w:after="0" w:line="360" w:lineRule="auto"/>
        <w:ind w:left="11" w:hanging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Izvo</w:t>
      </w:r>
      <w:r>
        <w:rPr>
          <w:rFonts w:ascii="Arial" w:hAnsi="Arial" w:cs="Arial"/>
          <w:sz w:val="22"/>
        </w:rPr>
        <w:t>r 5.3.1.- pomoći od MZOM-a smo trebali dodati iznose za Psihodijagnostička sredstva, iznos za Higijenske menstrualne potrepštine te pomoći ukrajinskim učenicima (sufinanciranje ekskurzije i izleta).</w:t>
      </w:r>
    </w:p>
    <w:p w:rsidR="006E1C55" w:rsidRDefault="006A33DC">
      <w:pPr>
        <w:spacing w:after="0" w:line="360" w:lineRule="auto"/>
        <w:ind w:left="11" w:hanging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Izvor 9.4.1. – višak prihoda za posebne namjene- iz njih </w:t>
      </w:r>
      <w:r>
        <w:rPr>
          <w:rFonts w:ascii="Arial" w:hAnsi="Arial" w:cs="Arial"/>
          <w:sz w:val="22"/>
        </w:rPr>
        <w:t>smo trebali podmiriti trošak sufinancirane ekskurzije za ukrajinskog učenika koji nije otišao na ekskurziju, a nije na vrijeme javio agenciji da neće ići. Stoga je agencija odbila vratiti sredstva. A MZOM je također odbilo to financirati te su tražili da i</w:t>
      </w:r>
      <w:r>
        <w:rPr>
          <w:rFonts w:ascii="Arial" w:hAnsi="Arial" w:cs="Arial"/>
          <w:sz w:val="22"/>
        </w:rPr>
        <w:t>m škola vrati novac za tog učenika, što je i učinjeno.</w:t>
      </w:r>
    </w:p>
    <w:p w:rsidR="006E1C55" w:rsidRDefault="006E1C55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</w:p>
    <w:p w:rsidR="006E1C55" w:rsidRDefault="006E1C55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6E1C55">
        <w:trPr>
          <w:trHeight w:val="8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S023201A320104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NABAVKA UDŽBENIKA I PRIBORA</w:t>
            </w:r>
          </w:p>
        </w:tc>
      </w:tr>
    </w:tbl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PLANIRANI IZNOS: 24.000,00 €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NOVI IZNOS: 44.500,00 €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360" w:lineRule="auto"/>
        <w:ind w:left="11" w:hanging="1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OBRAZLOŽENJE: </w:t>
      </w:r>
      <w:r>
        <w:rPr>
          <w:rFonts w:ascii="Arial" w:hAnsi="Arial" w:cs="Arial"/>
          <w:sz w:val="22"/>
        </w:rPr>
        <w:tab/>
        <w:t>Od MZOM-a smo planirali 24</w:t>
      </w:r>
      <w:r>
        <w:rPr>
          <w:rFonts w:ascii="Arial" w:hAnsi="Arial" w:cs="Arial"/>
          <w:sz w:val="22"/>
        </w:rPr>
        <w:t>.000 € za udžbenike, a budući da smo ih nabavili za 24.670,00  €, povećali smo tu poziciju za 670,00 €</w:t>
      </w:r>
    </w:p>
    <w:p w:rsidR="006E1C55" w:rsidRDefault="006A33DC">
      <w:pPr>
        <w:spacing w:after="0" w:line="360" w:lineRule="auto"/>
        <w:ind w:left="11" w:hanging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Grad Split je odlučio da će nam i ove godine odobriti sredstva za radne bilježnice, pa smo tako procijenili da će nam trebati 19.830,00 €.</w:t>
      </w:r>
    </w:p>
    <w:p w:rsidR="006E1C55" w:rsidRDefault="006E1C55">
      <w:pPr>
        <w:spacing w:after="0" w:line="360" w:lineRule="auto"/>
        <w:rPr>
          <w:rFonts w:ascii="Arial" w:hAnsi="Arial" w:cs="Arial"/>
          <w:sz w:val="22"/>
        </w:rPr>
      </w:pPr>
    </w:p>
    <w:p w:rsidR="006E1C55" w:rsidRDefault="006E1C55">
      <w:pPr>
        <w:spacing w:after="0" w:line="360" w:lineRule="auto"/>
        <w:rPr>
          <w:rFonts w:ascii="Arial" w:hAnsi="Arial" w:cs="Arial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S</w:t>
            </w:r>
            <w:r>
              <w:rPr>
                <w:rFonts w:ascii="Arial" w:eastAsia="Times New Roman" w:hAnsi="Arial" w:cs="Arial"/>
                <w:sz w:val="22"/>
              </w:rPr>
              <w:t>023201A320105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PROMETNI ODGOJ I SIGURNOST U PROMETU - POLIGON</w:t>
            </w:r>
          </w:p>
        </w:tc>
      </w:tr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1.1.1.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PRIHODI OD GRADA</w:t>
            </w:r>
          </w:p>
        </w:tc>
      </w:tr>
    </w:tbl>
    <w:p w:rsidR="006E1C55" w:rsidRDefault="006E1C55">
      <w:pPr>
        <w:spacing w:after="0" w:line="360" w:lineRule="auto"/>
        <w:rPr>
          <w:rFonts w:ascii="Arial" w:hAnsi="Arial" w:cs="Arial"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PLANIRANI IZNOS: 400,00 €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NOVI IZNOS: 654,00 €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OBRAZLOŽENJE: </w:t>
      </w:r>
      <w:r>
        <w:rPr>
          <w:rFonts w:ascii="Arial" w:hAnsi="Arial" w:cs="Arial"/>
          <w:sz w:val="22"/>
        </w:rPr>
        <w:t>morali smo korigirati iznos za prijevoz na prometni poligon za 254,00 €</w:t>
      </w:r>
      <w:r>
        <w:rPr>
          <w:rFonts w:ascii="Arial" w:hAnsi="Arial" w:cs="Arial"/>
          <w:sz w:val="22"/>
        </w:rPr>
        <w:t xml:space="preserve"> zbog poskupljenja troškova prijevoza.</w:t>
      </w:r>
    </w:p>
    <w:p w:rsidR="006E1C55" w:rsidRDefault="006E1C55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S023201A320111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HITNE INTERVENCIJE</w:t>
            </w:r>
          </w:p>
        </w:tc>
      </w:tr>
    </w:tbl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PLANIRANI IZNOS:  600,00 €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NOVI IZNOS: 6.000,00 €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OBRAZLOŽENJE: </w:t>
      </w:r>
      <w:r>
        <w:rPr>
          <w:rFonts w:ascii="Arial" w:hAnsi="Arial" w:cs="Arial"/>
          <w:sz w:val="22"/>
        </w:rPr>
        <w:t xml:space="preserve"> na ovoj poziciji smo isplanirali 600,00 € u slučaju loma stakala, ali kako je škola u fazi obnove dogodili su nam se neki drugi neplanirani i nepredvidivi troškovi, kao što su troškovi čišćenja škole nakon energetske obnove, izrada procjene postojećeg sta</w:t>
      </w:r>
      <w:r>
        <w:rPr>
          <w:rFonts w:ascii="Arial" w:hAnsi="Arial" w:cs="Arial"/>
          <w:sz w:val="22"/>
        </w:rPr>
        <w:t xml:space="preserve">nja i analize rizika, izrada Plana sigurnosti školske ustanove i protokola postupanja, izrada plana spašavanja </w:t>
      </w:r>
    </w:p>
    <w:p w:rsidR="006E1C55" w:rsidRDefault="006A33DC">
      <w:pPr>
        <w:spacing w:after="0" w:line="360" w:lineRule="auto"/>
        <w:ind w:left="0"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i evakuacije…</w:t>
      </w:r>
    </w:p>
    <w:p w:rsidR="006E1C55" w:rsidRDefault="006E1C55">
      <w:pPr>
        <w:spacing w:after="0" w:line="360" w:lineRule="auto"/>
        <w:rPr>
          <w:rFonts w:ascii="Arial" w:hAnsi="Arial" w:cs="Arial"/>
          <w:sz w:val="22"/>
        </w:rPr>
      </w:pPr>
    </w:p>
    <w:p w:rsidR="006E1C55" w:rsidRDefault="006E1C55">
      <w:pPr>
        <w:spacing w:after="0" w:line="360" w:lineRule="auto"/>
        <w:rPr>
          <w:rFonts w:ascii="Arial" w:hAnsi="Arial" w:cs="Arial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S023201A320116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OSIGURANJE UČENIKA OŠ</w:t>
            </w:r>
          </w:p>
        </w:tc>
      </w:tr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4.3.1.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PRIHODI ZA POSEBNE NAMJENE-PK</w:t>
            </w:r>
          </w:p>
        </w:tc>
      </w:tr>
    </w:tbl>
    <w:p w:rsidR="006E1C55" w:rsidRDefault="006E1C55">
      <w:pPr>
        <w:spacing w:after="0" w:line="360" w:lineRule="auto"/>
        <w:rPr>
          <w:rFonts w:ascii="Arial" w:hAnsi="Arial" w:cs="Arial"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PLANIRANI IZNOS:  1.500,00 €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NOVI IZNOS: 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OBRAZLOŽENJE: </w:t>
      </w:r>
      <w:r>
        <w:rPr>
          <w:rFonts w:ascii="Arial" w:hAnsi="Arial" w:cs="Arial"/>
          <w:sz w:val="22"/>
        </w:rPr>
        <w:t xml:space="preserve"> ovdje je došlo do promjene planiranog iznosa zbog toga što će roditelji koji žele osigurati svoju djecu direktno platiti osiguranje  odabranoj osiguravajućoj kući. </w:t>
      </w:r>
    </w:p>
    <w:p w:rsidR="006E1C55" w:rsidRDefault="006E1C55">
      <w:pPr>
        <w:spacing w:after="0" w:line="360" w:lineRule="auto"/>
        <w:ind w:left="0" w:firstLine="0"/>
        <w:rPr>
          <w:rFonts w:ascii="Arial" w:hAnsi="Arial" w:cs="Arial"/>
          <w:sz w:val="22"/>
        </w:rPr>
      </w:pPr>
    </w:p>
    <w:p w:rsidR="006E1C55" w:rsidRDefault="006E1C55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</w:p>
    <w:p w:rsidR="006E1C55" w:rsidRDefault="006E1C55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S023201T320112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EU PROJEKT "S POMOĆNIKOM MOGU BOLJE 7"</w:t>
            </w:r>
          </w:p>
        </w:tc>
      </w:tr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1.1.1.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PRIHODI OD GRADA</w:t>
            </w:r>
          </w:p>
        </w:tc>
      </w:tr>
    </w:tbl>
    <w:p w:rsidR="006E1C55" w:rsidRDefault="006E1C55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PLANIRANI IZNOS: 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NOVI IZNOS: 5.565,00 € </w:t>
      </w:r>
    </w:p>
    <w:p w:rsidR="006E1C55" w:rsidRDefault="006E1C55">
      <w:pPr>
        <w:spacing w:after="0" w:line="240" w:lineRule="auto"/>
        <w:rPr>
          <w:rFonts w:ascii="Arial" w:hAnsi="Arial" w:cs="Arial"/>
          <w:sz w:val="22"/>
        </w:rPr>
      </w:pPr>
    </w:p>
    <w:p w:rsidR="006E1C55" w:rsidRDefault="006A33DC">
      <w:pPr>
        <w:spacing w:after="0" w:line="360" w:lineRule="auto"/>
        <w:ind w:left="11" w:hanging="1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OBRAZLOŽENJE: </w:t>
      </w:r>
      <w:r>
        <w:rPr>
          <w:rFonts w:ascii="Arial" w:hAnsi="Arial" w:cs="Arial"/>
          <w:sz w:val="22"/>
        </w:rPr>
        <w:t xml:space="preserve">  Izvor 1.1.1. - dobili smo uputu od grada da ovdje planiramo neprihvatljive troškove iz projekta S pomoćnikom mogu bolje 7, a to su darovi, te naknade za bolest, invalidnost i smrtni slučaj.</w:t>
      </w:r>
    </w:p>
    <w:p w:rsidR="006E1C55" w:rsidRDefault="006A33DC">
      <w:pPr>
        <w:spacing w:after="0" w:line="360" w:lineRule="auto"/>
        <w:ind w:left="11" w:hanging="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Također smo upućeni da pod ovim izvorom planiramo plaću za pomoć</w:t>
      </w:r>
      <w:r>
        <w:rPr>
          <w:rFonts w:ascii="Arial" w:hAnsi="Arial" w:cs="Arial"/>
          <w:sz w:val="22"/>
        </w:rPr>
        <w:t>nicu u nastavi koja ima obuku za pomoćnika u nastavi od 20 h.</w:t>
      </w:r>
    </w:p>
    <w:p w:rsidR="006E1C55" w:rsidRDefault="006E1C55">
      <w:pPr>
        <w:spacing w:after="0" w:line="240" w:lineRule="auto"/>
        <w:rPr>
          <w:rFonts w:ascii="Arial" w:hAnsi="Arial" w:cs="Arial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S023201T320112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EU PROJEKT "S POMOĆNIKOM MOGU BOLJE 7"</w:t>
            </w:r>
          </w:p>
        </w:tc>
      </w:tr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Izvor 5.2.2.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PRIHODI OD GRADA</w:t>
            </w:r>
          </w:p>
        </w:tc>
      </w:tr>
    </w:tbl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PLANIRANI IZNOS: 77.550,00 €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NOVI IZNOS: 68.895,00 € </w:t>
      </w:r>
    </w:p>
    <w:p w:rsidR="006E1C55" w:rsidRDefault="006E1C55">
      <w:pPr>
        <w:spacing w:after="0" w:line="240" w:lineRule="auto"/>
        <w:rPr>
          <w:rFonts w:ascii="Arial" w:hAnsi="Arial" w:cs="Arial"/>
          <w:sz w:val="22"/>
        </w:rPr>
      </w:pPr>
    </w:p>
    <w:p w:rsidR="006E1C55" w:rsidRDefault="006A33DC">
      <w:pPr>
        <w:spacing w:after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OBRAZLOŽENJE: </w:t>
      </w:r>
      <w:r>
        <w:rPr>
          <w:rFonts w:ascii="Arial" w:hAnsi="Arial" w:cs="Arial"/>
          <w:sz w:val="22"/>
        </w:rPr>
        <w:t xml:space="preserve">   Izvor 5.2.2. - ovdje smo korigirali iznose koje smo trebali prebaciti u izvor 1.1.1., a tiče se iste aktivnosti.</w:t>
      </w:r>
    </w:p>
    <w:p w:rsidR="006E1C55" w:rsidRDefault="006E1C55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S023201T320107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PREHRANA UČENIKA</w:t>
            </w:r>
          </w:p>
        </w:tc>
      </w:tr>
    </w:tbl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PLANIRANI IZNOS: 93.000,00 €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NOVI IZNOS: 89.641,00 €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360" w:lineRule="auto"/>
        <w:ind w:left="11" w:hanging="1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OBRAZLOŽENJE:  </w:t>
      </w:r>
      <w:r>
        <w:rPr>
          <w:rFonts w:ascii="Arial" w:hAnsi="Arial" w:cs="Arial"/>
          <w:sz w:val="22"/>
        </w:rPr>
        <w:t>Izvor 1.1.1.-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proci</w:t>
      </w:r>
      <w:r>
        <w:rPr>
          <w:rFonts w:ascii="Arial" w:hAnsi="Arial" w:cs="Arial"/>
          <w:sz w:val="22"/>
        </w:rPr>
        <w:t>jenili smo da nam neće trebati 9.000,00 €  od grada  Splita za   sufinanciranje  razlike marende koja je skuplja od 1,33 €, pa smo na toj poziciji smanjili iznos na 5.641,00 € (37,32 %).</w:t>
      </w:r>
    </w:p>
    <w:p w:rsidR="006E1C55" w:rsidRDefault="006E1C55">
      <w:pPr>
        <w:spacing w:after="0" w:line="360" w:lineRule="auto"/>
        <w:ind w:left="11" w:hanging="11"/>
        <w:rPr>
          <w:rFonts w:ascii="Arial" w:hAnsi="Arial" w:cs="Arial"/>
          <w:sz w:val="22"/>
        </w:rPr>
      </w:pP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highlight w:val="cyan"/>
        </w:rPr>
        <w:t>PROGRAM: 3202 Kapitalna ulaganja na objektima OŠ</w:t>
      </w:r>
    </w:p>
    <w:p w:rsidR="006E1C55" w:rsidRDefault="006E1C55">
      <w:pPr>
        <w:spacing w:after="0" w:line="360" w:lineRule="auto"/>
        <w:rPr>
          <w:rFonts w:ascii="Arial" w:hAnsi="Arial" w:cs="Arial"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S023202K320250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NABAVKA ŠKOLSKE LEKTIRE</w:t>
            </w:r>
          </w:p>
        </w:tc>
      </w:tr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E1C5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7"/>
            <w:hideMark/>
          </w:tcPr>
          <w:p w:rsidR="006E1C55" w:rsidRDefault="006E1C5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</w:p>
        </w:tc>
      </w:tr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1C55" w:rsidRDefault="006E1C5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1C55" w:rsidRDefault="006E1C55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</w:p>
        </w:tc>
      </w:tr>
    </w:tbl>
    <w:p w:rsidR="006E1C55" w:rsidRDefault="006A33DC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PLANIRANI IZNOS:  1.950,00 € 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NOVI IZNOS: 2.050,00 €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OBRAZLOŽENJE:   </w:t>
      </w:r>
      <w:r>
        <w:rPr>
          <w:rFonts w:ascii="Arial" w:hAnsi="Arial" w:cs="Arial"/>
          <w:sz w:val="22"/>
        </w:rPr>
        <w:t>ovdje smo samo povećali iznos za nabavku školske lektire od MZOM-a (izvor 5.3.1.)</w:t>
      </w:r>
      <w:r>
        <w:rPr>
          <w:rFonts w:ascii="Arial" w:hAnsi="Arial" w:cs="Arial"/>
          <w:sz w:val="22"/>
        </w:rPr>
        <w:t xml:space="preserve"> za 20 %. Razlog je taj što je MZOM lani nakon donošenja našeg financijskog plana za trogodišnje razdoblje povećao iznose za lektiru.</w:t>
      </w:r>
    </w:p>
    <w:p w:rsidR="006E1C55" w:rsidRDefault="006A33DC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highlight w:val="cyan"/>
        </w:rPr>
        <w:t>PROGRAM: 3203 Rashodi za zaposlene u OŠ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S023203A320301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RASHODI ZA ZAPOSLENE U OŠ</w:t>
            </w:r>
          </w:p>
        </w:tc>
      </w:tr>
    </w:tbl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  <w:bookmarkStart w:id="4" w:name="_Hlk210114262"/>
      <w:r>
        <w:rPr>
          <w:rFonts w:ascii="Arial" w:hAnsi="Arial" w:cs="Arial"/>
          <w:b/>
          <w:sz w:val="22"/>
        </w:rPr>
        <w:t>PLANIRANI IZNOS:  1.133.000</w:t>
      </w:r>
      <w:r>
        <w:rPr>
          <w:rFonts w:ascii="Arial" w:hAnsi="Arial" w:cs="Arial"/>
          <w:b/>
          <w:sz w:val="22"/>
        </w:rPr>
        <w:t xml:space="preserve">,00 € 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NOVI IZNOS: 1.204.469,00 € </w:t>
      </w:r>
    </w:p>
    <w:bookmarkEnd w:id="4"/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360" w:lineRule="auto"/>
        <w:ind w:left="11" w:hanging="1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OBRAZLOŽENJE: </w:t>
      </w:r>
      <w:r>
        <w:rPr>
          <w:rFonts w:ascii="Arial" w:hAnsi="Arial" w:cs="Arial"/>
          <w:sz w:val="22"/>
        </w:rPr>
        <w:tab/>
        <w:t xml:space="preserve"> Izvor 5.3.1.- Rashode za zaposlene smo povećali za 6,31 % jer smo procijenili da bi nam toliko trebalo do kraja godine zbog osnovice na plaću koja je se tri puta povećavala u 2025.godini.Povećali smo ra</w:t>
      </w:r>
      <w:r>
        <w:rPr>
          <w:rFonts w:ascii="Arial" w:hAnsi="Arial" w:cs="Arial"/>
          <w:sz w:val="22"/>
        </w:rPr>
        <w:t>shode za plaće, doprinos za zdravstveno i naknadu zbog nezapošljavanja invalida, a smanjili smo  naknadu za prijevoz za 27,78 %, tj. 5.000,00 €.</w:t>
      </w:r>
    </w:p>
    <w:p w:rsidR="006E1C55" w:rsidRDefault="006E1C55">
      <w:pPr>
        <w:spacing w:after="0" w:line="240" w:lineRule="auto"/>
        <w:ind w:left="0" w:firstLine="0"/>
        <w:rPr>
          <w:rFonts w:ascii="Arial" w:hAnsi="Arial" w:cs="Arial"/>
          <w:b/>
          <w:sz w:val="22"/>
        </w:rPr>
      </w:pP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40"/>
        <w:gridCol w:w="6820"/>
      </w:tblGrid>
      <w:tr w:rsidR="006E1C55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Aktivnost S023203A320301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:rsidR="006E1C55" w:rsidRDefault="006A33D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sz w:val="22"/>
              </w:rPr>
            </w:pPr>
            <w:r>
              <w:rPr>
                <w:rFonts w:ascii="Arial" w:eastAsia="Times New Roman" w:hAnsi="Arial" w:cs="Arial"/>
                <w:sz w:val="22"/>
              </w:rPr>
              <w:t>RASHODI ZA ZAPOSLENE U OŠ</w:t>
            </w:r>
          </w:p>
        </w:tc>
      </w:tr>
    </w:tbl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PLANIRANI IZNOS:  0,00 € 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NOVI IZNOS: 83,00 € </w:t>
      </w:r>
    </w:p>
    <w:p w:rsidR="006E1C55" w:rsidRDefault="006E1C55">
      <w:pPr>
        <w:spacing w:after="0" w:line="240" w:lineRule="auto"/>
        <w:rPr>
          <w:rFonts w:ascii="Arial" w:hAnsi="Arial" w:cs="Arial"/>
          <w:b/>
          <w:sz w:val="22"/>
        </w:rPr>
      </w:pPr>
    </w:p>
    <w:p w:rsidR="006E1C55" w:rsidRDefault="006A33DC">
      <w:pPr>
        <w:spacing w:after="0" w:line="360" w:lineRule="auto"/>
        <w:ind w:left="11" w:hanging="1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OBRAZLOŽENJE: </w:t>
      </w:r>
      <w:r>
        <w:rPr>
          <w:rFonts w:ascii="Arial" w:hAnsi="Arial" w:cs="Arial"/>
          <w:sz w:val="22"/>
        </w:rPr>
        <w:t>Izvor 9.3.1. – višak vlastitih sredstava – iz njih smo trebali namiriti oporezive dnevnice za pomoćnice.</w:t>
      </w:r>
    </w:p>
    <w:p w:rsidR="006E1C55" w:rsidRDefault="006E1C55">
      <w:pPr>
        <w:rPr>
          <w:rFonts w:ascii="Arial" w:hAnsi="Arial" w:cs="Arial"/>
          <w:sz w:val="22"/>
        </w:rPr>
      </w:pPr>
    </w:p>
    <w:p w:rsidR="006E1C55" w:rsidRDefault="006E1C55">
      <w:pPr>
        <w:rPr>
          <w:rFonts w:ascii="Arial" w:hAnsi="Arial" w:cs="Arial"/>
          <w:sz w:val="22"/>
        </w:rPr>
      </w:pPr>
    </w:p>
    <w:p w:rsidR="006E1C55" w:rsidRDefault="006E1C55">
      <w:pPr>
        <w:rPr>
          <w:rFonts w:ascii="Arial" w:hAnsi="Arial" w:cs="Arial"/>
          <w:sz w:val="22"/>
        </w:rPr>
      </w:pPr>
    </w:p>
    <w:p w:rsidR="006E1C55" w:rsidRDefault="006E1C55">
      <w:pPr>
        <w:rPr>
          <w:rFonts w:ascii="Arial" w:hAnsi="Arial" w:cs="Arial"/>
          <w:sz w:val="22"/>
        </w:rPr>
      </w:pPr>
    </w:p>
    <w:p w:rsidR="006E1C55" w:rsidRDefault="006A33DC">
      <w:pPr>
        <w:ind w:left="6490" w:firstLine="7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V.d. ravnatelja:</w:t>
      </w:r>
    </w:p>
    <w:p w:rsidR="006E1C55" w:rsidRDefault="006A33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</w:t>
      </w:r>
    </w:p>
    <w:p w:rsidR="006E1C55" w:rsidRDefault="006A33DC">
      <w:pPr>
        <w:ind w:left="6490" w:firstLine="7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Siniša Duhović , prof.</w:t>
      </w:r>
    </w:p>
    <w:sectPr w:rsidR="006E1C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3DC" w:rsidRDefault="006A33DC">
      <w:pPr>
        <w:spacing w:after="0" w:line="240" w:lineRule="auto"/>
      </w:pPr>
      <w:r>
        <w:separator/>
      </w:r>
    </w:p>
  </w:endnote>
  <w:endnote w:type="continuationSeparator" w:id="0">
    <w:p w:rsidR="006A33DC" w:rsidRDefault="006A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55" w:rsidRDefault="006E1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594302"/>
      <w:docPartObj>
        <w:docPartGallery w:val="Page Numbers (Bottom of Page)"/>
        <w:docPartUnique/>
      </w:docPartObj>
    </w:sdtPr>
    <w:sdtEndPr/>
    <w:sdtContent>
      <w:p w:rsidR="006E1C55" w:rsidRDefault="006A33D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1C55" w:rsidRDefault="006E1C5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55" w:rsidRDefault="006E1C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3DC" w:rsidRDefault="006A33DC">
      <w:pPr>
        <w:spacing w:after="0" w:line="240" w:lineRule="auto"/>
      </w:pPr>
      <w:r>
        <w:separator/>
      </w:r>
    </w:p>
  </w:footnote>
  <w:footnote w:type="continuationSeparator" w:id="0">
    <w:p w:rsidR="006A33DC" w:rsidRDefault="006A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55" w:rsidRDefault="006E1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55" w:rsidRDefault="006E1C5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55" w:rsidRDefault="006E1C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6C8C"/>
    <w:multiLevelType w:val="multilevel"/>
    <w:tmpl w:val="BB18411E"/>
    <w:lvl w:ilvl="0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eastAsia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55"/>
    <w:rsid w:val="006A33DC"/>
    <w:rsid w:val="006E1C55"/>
    <w:rsid w:val="00A6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79E67-F7F3-47E0-A1FE-500A8E04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Korisnik</cp:lastModifiedBy>
  <cp:revision>2</cp:revision>
  <dcterms:created xsi:type="dcterms:W3CDTF">2025-09-30T09:49:00Z</dcterms:created>
  <dcterms:modified xsi:type="dcterms:W3CDTF">2025-09-30T09:49:00Z</dcterms:modified>
</cp:coreProperties>
</file>