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0F" w:rsidRDefault="006D5D61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2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D600F">
        <w:tc>
          <w:tcPr>
            <w:tcW w:w="6379" w:type="dxa"/>
          </w:tcPr>
          <w:p w:rsidR="009D600F" w:rsidRDefault="006D5D61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9D600F" w:rsidRDefault="006D5D61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Ivankova 13, 21311 Stobreč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400-02/25-01/7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2181-170-25-1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Stobreč, 18.07.2025.g. </w:t>
            </w:r>
          </w:p>
        </w:tc>
        <w:tc>
          <w:tcPr>
            <w:tcW w:w="2693" w:type="dxa"/>
          </w:tcPr>
          <w:p w:rsidR="009D600F" w:rsidRDefault="006D5D61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00F" w:rsidRDefault="006D5D61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</w:t>
      </w:r>
    </w:p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9D600F">
        <w:tc>
          <w:tcPr>
            <w:tcW w:w="6379" w:type="dxa"/>
          </w:tcPr>
          <w:p w:rsidR="009D600F" w:rsidRDefault="009D600F">
            <w:pPr>
              <w:spacing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bookmarkStart w:id="1" w:name="_Hlk128748807"/>
          </w:p>
        </w:tc>
        <w:tc>
          <w:tcPr>
            <w:tcW w:w="2835" w:type="dxa"/>
          </w:tcPr>
          <w:p w:rsidR="009D600F" w:rsidRDefault="009D600F">
            <w:pPr>
              <w:spacing w:after="160" w:line="259" w:lineRule="auto"/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bookmarkEnd w:id="1"/>
    </w:tbl>
    <w:p w:rsidR="009D600F" w:rsidRDefault="009D600F">
      <w:pPr>
        <w:rPr>
          <w:rFonts w:ascii="Arial" w:hAnsi="Arial" w:cs="Arial"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sz w:val="22"/>
          <w:szCs w:val="22"/>
        </w:rPr>
        <w:t>Temeljem članka 81. novog Zakona o proračunu (NN 144/21), odredbi Pravilnika o polugodišnjem i godišnjem izvještavanju o izvršenju proračuna (NN 24/13, 102/17, 1/20 i 147/20), Zakona o fiskalnoj odgovornosti (NN 111/18, 83/23) i Uredbe o sastavljanju i pre</w:t>
      </w:r>
      <w:r>
        <w:rPr>
          <w:rFonts w:ascii="Arial" w:hAnsi="Arial" w:cs="Arial"/>
          <w:sz w:val="22"/>
          <w:szCs w:val="22"/>
        </w:rPr>
        <w:t xml:space="preserve">daji Izjave o fiskalnoj odgovornosti i izvještaja o primjeni fiskalnih pravila (NN 95/19) te članaka 58. i 70.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Statuta Osnovne škole Stobreč, Stobreč (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  <w:lang w:val="en-GB"/>
        </w:rPr>
        <w:t>KLASA: 602-02/19-01/36, URBROJ: 2181-170-19-1, od 22.05.2019.g., te KLASA: 602-02/20-01/62, URBROJ: 2181-170-20-4, od 29.05.2020.g.), ravnateljica OŠ Stobreč, Marina Baćak, prof., na sjednici ŠO održanoj dana 18. srpnja 2025. podnosi Školskom odboru  prije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  <w:lang w:val="en-GB"/>
        </w:rPr>
        <w:t>dlog</w:t>
      </w:r>
    </w:p>
    <w:p w:rsidR="009D600F" w:rsidRDefault="009D600F">
      <w:pPr>
        <w:spacing w:line="360" w:lineRule="auto"/>
        <w:rPr>
          <w:rFonts w:ascii="Arial" w:hAnsi="Arial" w:cs="Arial"/>
          <w:color w:val="242424"/>
          <w:sz w:val="22"/>
          <w:szCs w:val="22"/>
          <w:shd w:val="clear" w:color="auto" w:fill="FFFFFF"/>
          <w:lang w:val="en-GB"/>
        </w:rPr>
      </w:pPr>
    </w:p>
    <w:p w:rsidR="009D600F" w:rsidRDefault="006D5D61">
      <w:pPr>
        <w:spacing w:line="360" w:lineRule="auto"/>
        <w:ind w:left="1416" w:firstLine="708"/>
        <w:jc w:val="center"/>
        <w:rPr>
          <w:rFonts w:ascii="Arial" w:hAnsi="Arial" w:cs="Arial"/>
          <w:b/>
          <w:color w:val="242424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b/>
          <w:color w:val="242424"/>
          <w:sz w:val="22"/>
          <w:szCs w:val="22"/>
          <w:shd w:val="clear" w:color="auto" w:fill="FFFFFF"/>
          <w:lang w:val="en-GB"/>
        </w:rPr>
        <w:t>POLUGODIŠNJEG IZVJEŠTAJA O IZVRŠENJU FINANCIJSKOG PLANA ZA  RAZDOBLJE OD 01.01.2025.-30.06.2025.g</w:t>
      </w:r>
    </w:p>
    <w:p w:rsidR="009D600F" w:rsidRDefault="006D5D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1.OPĆI DIO</w:t>
      </w:r>
    </w:p>
    <w:p w:rsidR="009D600F" w:rsidRDefault="009D600F">
      <w:pPr>
        <w:rPr>
          <w:rFonts w:ascii="Arial" w:hAnsi="Arial" w:cs="Arial"/>
          <w:b/>
          <w:sz w:val="22"/>
          <w:szCs w:val="22"/>
        </w:rPr>
      </w:pPr>
    </w:p>
    <w:p w:rsidR="009D600F" w:rsidRDefault="006D5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dio sadrži:</w:t>
      </w:r>
    </w:p>
    <w:p w:rsidR="009D600F" w:rsidRDefault="006D5D61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Sažetak Računa prihoda i rashoda i Računa financiranja</w:t>
      </w:r>
    </w:p>
    <w:p w:rsidR="009D600F" w:rsidRDefault="006D5D61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 prihoda i rashoda :</w:t>
      </w:r>
    </w:p>
    <w:p w:rsidR="009D600F" w:rsidRDefault="006D5D61">
      <w:pPr>
        <w:pStyle w:val="Odlomakpopisa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prema ekonomskoj klasifikaciji</w:t>
      </w:r>
    </w:p>
    <w:p w:rsidR="009D600F" w:rsidRDefault="006D5D61">
      <w:pPr>
        <w:pStyle w:val="Odlomakpopisa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zvještaj prema izvorima financiranja</w:t>
      </w:r>
    </w:p>
    <w:p w:rsidR="009D600F" w:rsidRDefault="006D5D61">
      <w:pPr>
        <w:pStyle w:val="Odlomakpopisa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prema funkcijskoj klasifikaciji</w:t>
      </w:r>
    </w:p>
    <w:p w:rsidR="009D600F" w:rsidRDefault="006D5D61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Račun financiranja</w:t>
      </w:r>
    </w:p>
    <w:p w:rsidR="009D600F" w:rsidRDefault="006D5D61">
      <w:pPr>
        <w:pStyle w:val="Odlomakpopisa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po ekonomskoj klasifikaciji</w:t>
      </w:r>
    </w:p>
    <w:p w:rsidR="009D600F" w:rsidRDefault="009D600F">
      <w:pPr>
        <w:jc w:val="both"/>
        <w:rPr>
          <w:rFonts w:ascii="Arial" w:hAnsi="Arial" w:cs="Arial"/>
          <w:b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b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pStyle w:val="Odlomakpopisa"/>
        <w:numPr>
          <w:ilvl w:val="1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Sažetak računa prihoda i rashoda i računa financiranja</w:t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Ukupno ostvareni prihodi i izvršeni rashodi na razini razreda ekonomske klasifikacije te preneseni viškovi / manjkovi iskazani su u Sažetku  računa prihoda i rashoda i Računa financiranja za razdoblje 1.1.2025.-30.06.2025. godine i to kako slijedi:</w:t>
      </w:r>
    </w:p>
    <w:tbl>
      <w:tblPr>
        <w:tblW w:w="1220" w:type="dxa"/>
        <w:tblLook w:val="04A0" w:firstRow="1" w:lastRow="0" w:firstColumn="1" w:lastColumn="0" w:noHBand="0" w:noVBand="1"/>
      </w:tblPr>
      <w:tblGrid>
        <w:gridCol w:w="1220"/>
      </w:tblGrid>
      <w:tr w:rsidR="009D600F">
        <w:trPr>
          <w:trHeight w:val="4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2400" w:type="dxa"/>
        <w:tblLook w:val="04A0" w:firstRow="1" w:lastRow="0" w:firstColumn="1" w:lastColumn="0" w:noHBand="0" w:noVBand="1"/>
      </w:tblPr>
      <w:tblGrid>
        <w:gridCol w:w="918"/>
        <w:gridCol w:w="916"/>
        <w:gridCol w:w="915"/>
        <w:gridCol w:w="914"/>
        <w:gridCol w:w="456"/>
        <w:gridCol w:w="1587"/>
        <w:gridCol w:w="1653"/>
        <w:gridCol w:w="1108"/>
        <w:gridCol w:w="1587"/>
        <w:gridCol w:w="1167"/>
        <w:gridCol w:w="1179"/>
      </w:tblGrid>
      <w:tr w:rsidR="009D600F">
        <w:trPr>
          <w:trHeight w:val="1335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PRIHODI/RASHODI TEKUĆA GODINA 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Izvršenje prethodne godine  01-06/2024.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Izvorni plan tekuće godine 2025.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Tekući plan 2025.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Izvršenje tekuće godine 01-06/2025.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Indeks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Indeks</w:t>
            </w:r>
          </w:p>
        </w:tc>
      </w:tr>
      <w:tr w:rsidR="009D600F">
        <w:trPr>
          <w:trHeight w:val="63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6 =5/2*100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7 =5/3*100</w:t>
            </w:r>
          </w:p>
        </w:tc>
      </w:tr>
      <w:tr w:rsidR="009D600F">
        <w:trPr>
          <w:trHeight w:val="563"/>
        </w:trPr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PRIHODI UKUPNO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579.751,64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1.399.960,00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644.688,59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111,20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46,05</w:t>
            </w:r>
          </w:p>
        </w:tc>
      </w:tr>
      <w:tr w:rsidR="009D600F">
        <w:trPr>
          <w:trHeight w:val="563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PRIHODI POSLOVANJA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579.751,64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1.399.960,00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644.688,59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111,20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46,05</w:t>
            </w:r>
          </w:p>
        </w:tc>
      </w:tr>
      <w:tr w:rsidR="009D600F">
        <w:trPr>
          <w:trHeight w:val="563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PRIHODI OD PRODAJE NEFINANCIJSKE IMOVINE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</w:tr>
      <w:tr w:rsidR="009D600F">
        <w:trPr>
          <w:trHeight w:val="563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RASHODI UKUPNO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573.815,04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1.402.650,00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724.969,68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126,34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51,69</w:t>
            </w:r>
          </w:p>
        </w:tc>
      </w:tr>
      <w:tr w:rsidR="009D600F">
        <w:trPr>
          <w:trHeight w:val="563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RASHODI  POSLOVANJA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572.158,26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1.385.470,00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722.583,40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126,29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52,15</w:t>
            </w:r>
          </w:p>
        </w:tc>
      </w:tr>
      <w:tr w:rsidR="009D600F">
        <w:trPr>
          <w:trHeight w:val="563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RASHODI ZA NEFINANCIJSKU IMOVINU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1.656,78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17.180,00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2.386,28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144,03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13,89</w:t>
            </w:r>
          </w:p>
        </w:tc>
      </w:tr>
      <w:tr w:rsidR="009D600F">
        <w:trPr>
          <w:trHeight w:val="563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RAZLIKA - VIŠAK / MANJAK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5.936,60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-2.690,00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-80.281,09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-1.352,31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2.984,43</w:t>
            </w:r>
          </w:p>
        </w:tc>
      </w:tr>
      <w:tr w:rsidR="009D600F">
        <w:trPr>
          <w:trHeight w:val="435"/>
        </w:trPr>
        <w:tc>
          <w:tcPr>
            <w:tcW w:w="1005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B) SAŽETAK RAČUNA FINANCIRANJA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</w:tr>
      <w:tr w:rsidR="009D600F">
        <w:trPr>
          <w:trHeight w:val="1238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PRIHODI/RASHODI TEKUĆA GODINA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Izvršenje prethodne godine  01-06/2024.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Izvorni plan tekuće godine 2025.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Tekući plan 2025.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Izvršenje tekuće godine 01-06/2025.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6 =5/2*100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7 =5/3*100</w:t>
            </w:r>
          </w:p>
        </w:tc>
      </w:tr>
      <w:tr w:rsidR="009D600F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##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2,00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3,00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4,00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5,00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7,00</w:t>
            </w:r>
          </w:p>
        </w:tc>
      </w:tr>
      <w:tr w:rsidR="009D600F">
        <w:trPr>
          <w:trHeight w:val="518"/>
        </w:trPr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PRIMICI OD FINANCIJSKE IMOVINE I ZADUŽIVANJA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</w:tr>
      <w:tr w:rsidR="009D600F">
        <w:trPr>
          <w:trHeight w:val="518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IZDACI ZA FINANCIJSKU IMOVINU I OTPLATE ZAJMOVA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</w:tr>
      <w:tr w:rsidR="009D600F">
        <w:trPr>
          <w:trHeight w:val="518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VIŠAK /MANJAK +NETO FINANCIRANJE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</w:tr>
      <w:tr w:rsidR="009D600F">
        <w:trPr>
          <w:trHeight w:val="43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</w:tr>
      <w:tr w:rsidR="009D600F">
        <w:trPr>
          <w:trHeight w:val="435"/>
        </w:trPr>
        <w:tc>
          <w:tcPr>
            <w:tcW w:w="1005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C) PRENESENI VIŠAK ILI PRENESENI MANJAK I VIŠEGODIŠNJI PLAN URAVNOTEŽENJA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</w:tr>
      <w:tr w:rsidR="009D600F">
        <w:trPr>
          <w:trHeight w:val="1249"/>
        </w:trPr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PRIHODI/RASHODI TEKUĆA GODINA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Izvršenje prethodne godine  01-06/2024.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Izvorni plan tekuće godine 2025.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Tekući plan 2025.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Izvršenje tekuće godine 01-06/2025.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6 =5/2*100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7 =5/3*100</w:t>
            </w:r>
          </w:p>
        </w:tc>
      </w:tr>
      <w:tr w:rsidR="009D600F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##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2,00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3,00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4,00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5,00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7,00</w:t>
            </w:r>
          </w:p>
        </w:tc>
      </w:tr>
      <w:tr w:rsidR="009D600F">
        <w:trPr>
          <w:trHeight w:val="720"/>
        </w:trPr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UKUPAN DONOS VIŠKA / MANJKA IZ PRETHODNE(IH) GODINE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-14.520,13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2.690,00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-17.954,67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123,65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-667,46</w:t>
            </w:r>
          </w:p>
        </w:tc>
      </w:tr>
      <w:tr w:rsidR="009D600F">
        <w:trPr>
          <w:trHeight w:val="1009"/>
        </w:trPr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PRIJENOS VIŠKA/MANJKA U SLJEDEĆE RAZDOBLJE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-8.583,53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-98.235,76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1.144,47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0,00</w:t>
            </w:r>
          </w:p>
        </w:tc>
      </w:tr>
    </w:tbl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>
        <w:rPr>
          <w:rFonts w:ascii="Arial" w:hAnsi="Arial" w:cs="Arial"/>
          <w:sz w:val="22"/>
          <w:szCs w:val="22"/>
        </w:rPr>
        <w:t xml:space="preserve">RAČUN PRIHODA I RASHODA </w:t>
      </w:r>
    </w:p>
    <w:p w:rsidR="009D600F" w:rsidRDefault="009D600F">
      <w:pPr>
        <w:pStyle w:val="Odlomakpopisa"/>
        <w:ind w:left="360"/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pStyle w:val="Odlomakpopis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 prihoda i rashoda prema ekonomskoj klasifikaciji</w:t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2770" w:type="dxa"/>
        <w:tblLook w:val="04A0" w:firstRow="1" w:lastRow="0" w:firstColumn="1" w:lastColumn="0" w:noHBand="0" w:noVBand="1"/>
      </w:tblPr>
      <w:tblGrid>
        <w:gridCol w:w="796"/>
        <w:gridCol w:w="2607"/>
        <w:gridCol w:w="622"/>
        <w:gridCol w:w="3787"/>
        <w:gridCol w:w="1084"/>
        <w:gridCol w:w="1229"/>
        <w:gridCol w:w="766"/>
        <w:gridCol w:w="1084"/>
        <w:gridCol w:w="1012"/>
        <w:gridCol w:w="1012"/>
      </w:tblGrid>
      <w:tr w:rsidR="009D600F">
        <w:trPr>
          <w:trHeight w:val="315"/>
        </w:trPr>
        <w:tc>
          <w:tcPr>
            <w:tcW w:w="12770" w:type="dxa"/>
            <w:gridSpan w:val="10"/>
            <w:tcBorders>
              <w:top w:val="nil"/>
              <w:left w:val="single" w:sz="4" w:space="0" w:color="00206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PRIHODI POSLOVANJA</w:t>
            </w:r>
          </w:p>
        </w:tc>
      </w:tr>
      <w:tr w:rsidR="009D600F">
        <w:trPr>
          <w:trHeight w:val="12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Razred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Skupina/podskupina/odjeljak 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Izvor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Naziv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Izvršenje prethodne godine 01-06/ 2024.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Izvorni plan tekuće godine 2025.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Tekući plan 2025.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Izvršenje te</w:t>
            </w: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kuće godine 01-06/ 2025.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Indeks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Indeks</w:t>
            </w:r>
          </w:p>
        </w:tc>
      </w:tr>
      <w:tr w:rsidR="009D600F">
        <w:trPr>
          <w:trHeight w:val="48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6=5/2*100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7=5/3*100</w:t>
            </w:r>
          </w:p>
        </w:tc>
      </w:tr>
      <w:tr w:rsidR="009D600F">
        <w:trPr>
          <w:trHeight w:val="51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00B0F0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Prihodi poslovanja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579.751,64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1.399.960,00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644.688,59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111,20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46,05</w:t>
            </w:r>
          </w:p>
        </w:tc>
      </w:tr>
      <w:tr w:rsidR="009D600F">
        <w:trPr>
          <w:trHeight w:val="6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515.344,73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1.241.826,00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573.700,71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111,32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46,20</w:t>
            </w:r>
          </w:p>
        </w:tc>
      </w:tr>
      <w:tr w:rsidR="009D600F">
        <w:trPr>
          <w:trHeight w:val="67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636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Pomoći proračunskim korisnicima iz proračuna koji im nije nadležan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515.344,73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1.241.826,00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573.700,71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111,32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46,20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6361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Tekuće pomoći proračunskim korisnicima iz proračuna koji im nije nadležan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515.344,73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1.229.326,00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573.700,71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111,32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46,67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6362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Kapitalne pomoći iz državnog proračuna proračunskim korisnicima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12.500,00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Prihodi od imovine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Prihod od financijske imovine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Kamate na oročena sredstva i depozite po viđenju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Prihodi od upravnih i administrativnih pristojbi, pristojbi po posebnim propisima i nakanda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619,00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2.300,00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1.452,00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234,57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63,13</w:t>
            </w:r>
          </w:p>
        </w:tc>
      </w:tr>
      <w:tr w:rsidR="009D600F">
        <w:trPr>
          <w:trHeight w:val="46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Prihodi po posebnim propisima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619,00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2.300,00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1.452,00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234,57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63,13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6526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Ostali nespomenuti prihodi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619,00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2.300,00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1.452,00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234,57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63,13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395,00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288,56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73,05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661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Prihodi od prodaje proizvoda i robe te pruženih usluga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245,00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288,56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117,78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6614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Prihodi od prodaje robe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245,00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288,56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117,78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DD7EE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DD7EE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9D600F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663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Donacije od pravnih i fizičkih osoba izvan općeg proračuna i povrat donacija po protestiranim jamstvima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6632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Kapitalne donacije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6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Prihodi iz nadležnog proračuna i od HZZO-a temeljem ugovornih obveza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63.787,91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155.434,00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69.247,32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108,56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44,55</w:t>
            </w:r>
          </w:p>
        </w:tc>
      </w:tr>
      <w:tr w:rsidR="009D600F">
        <w:trPr>
          <w:trHeight w:val="9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Prihodi iz nadležnog proračuna za financiranje redovne djelatnosti proračunskih korisnika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63.787,91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155.434,00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69.247,32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108,56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44,55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6711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62.131,13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151.594,00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67.081,04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107,97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44,25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6712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Prihodi iz nadležnog proračuna za financiranje rashoda za nabavu nefinancijske imovine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1.656,78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3.840,00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2.166,28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130,75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56,41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9D600F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300"/>
        </w:trPr>
        <w:tc>
          <w:tcPr>
            <w:tcW w:w="1277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 xml:space="preserve">VIŠAK KORIŠTEN ZA POKRIĆE RASHODA </w:t>
            </w:r>
          </w:p>
        </w:tc>
      </w:tr>
      <w:tr w:rsidR="009D600F">
        <w:trPr>
          <w:trHeight w:val="12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Razred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Skupina/podskupina/odjeljak 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Izvor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 xml:space="preserve">Naziv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Izvršenje prethodne godine 01-06/ 2024.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Izvorni plan tekuće godine 2025.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Tekući plan 2025.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Izvršenje tekuće godine 01-06/ 2025.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Indeks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Indeks</w:t>
            </w:r>
          </w:p>
        </w:tc>
      </w:tr>
      <w:tr w:rsidR="009D600F">
        <w:trPr>
          <w:trHeight w:val="45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6=5/2*100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7=5/3*100</w:t>
            </w:r>
          </w:p>
        </w:tc>
      </w:tr>
      <w:tr w:rsidR="009D600F">
        <w:trPr>
          <w:trHeight w:val="55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Vlastiti izvori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2.628,96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2.690,00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Rezultat poslovanja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2.628,96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2.690,00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Višak/manjak prihoda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2.628,96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2.690,00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9221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Višak prihoda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2.628,96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2.690,00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Vlastiti prihodi - višak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332,88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330,00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Prihodi za posebne namjene - višak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1.484,33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1.500,00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 xml:space="preserve">Prihodi za posebne namjene - višak -Županija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120,00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170,00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Višak od donacija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691,75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690,00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UKUPNI PRIHODI + VIŠAK KORIŠTEN ZA POKRIĆE RASHODA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582.380,60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1.402.650,00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644.688,59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110,70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45,96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315"/>
        </w:trPr>
        <w:tc>
          <w:tcPr>
            <w:tcW w:w="12770" w:type="dxa"/>
            <w:gridSpan w:val="10"/>
            <w:tcBorders>
              <w:top w:val="nil"/>
              <w:left w:val="single" w:sz="4" w:space="0" w:color="00206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RASHODI POSLOVANJA</w:t>
            </w:r>
          </w:p>
        </w:tc>
      </w:tr>
      <w:tr w:rsidR="009D600F">
        <w:trPr>
          <w:trHeight w:val="12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Razred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Skupina/podskupina/odjeljak 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Izvor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Naziv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Izvršenje prethodne godine 01-06/ 2024.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Izvorni plan tekuće godine 2025.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Tekući plan 2025.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Izvršenje tekuće godine 01-06/ 2025.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Indeks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Indeks</w:t>
            </w:r>
          </w:p>
        </w:tc>
      </w:tr>
      <w:tr w:rsidR="009D600F">
        <w:trPr>
          <w:trHeight w:val="37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5=4/2*100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6=4/3*100</w:t>
            </w:r>
          </w:p>
        </w:tc>
      </w:tr>
      <w:tr w:rsidR="009D600F">
        <w:trPr>
          <w:trHeight w:val="56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Rashodi poslovanja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572.158,26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1.385.470,00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722.583,40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126,29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52,15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Rashodi za zaposlene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481.120,75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1.186.540,00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641.693,16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133,37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54,08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Plaće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394.220,36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969.610,00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534.795,63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135,66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55,16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3111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Plaće za redovan rad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394.220,36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969.610,00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534.795,63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135,66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55,16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Ostali rashodi za zaposlene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21.609,31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54.650,00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18.623,37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86,18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34,08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3121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Ostali rashodi za zaposlene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21.609,31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54.650,00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18.623,37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86,18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34,08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Doprinosi na plaće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65.291,08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162.280,00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88.274,16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135,20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54,40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3132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Doprinosi za obvezno zdravstveno osiguranje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65.274,47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162.280,00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88.274,16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135,24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54,40</w:t>
            </w:r>
          </w:p>
        </w:tc>
      </w:tr>
      <w:tr w:rsidR="009D600F">
        <w:trPr>
          <w:trHeight w:val="85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3133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Doprinosi za  obvezno zdravstveno osiguranje u slučaju nezaposlenosti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16,61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Materijalni rashodi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89.605,81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186.475,00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79.606,49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88,84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42,69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Naknade troškova zaposlenima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9.533,73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26.960,00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11.761,75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43,63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Službena putovanja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1.713,59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5.360,00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2.835,64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165,48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52,90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Naknada za prijevoz, za rad na terenu i odvojeni život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7.271,39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20.600,00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8.589,61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118,13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41,70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Stručno usavršavanje zaposlenika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421,25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220,00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52,23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33,85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Ostale naknade troškova zaposlenima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127,50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116,50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91,37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33,29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Rashodi za materijal i energiju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63.299,38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131.493,00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48.942,59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37,22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3.180,91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10.228,00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3.659,29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115,04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35,78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Materijal i sirovine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46.272,30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93.500,00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40.529,96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87,59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43,35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3223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Energija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13.358,16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24.979,00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3.823,21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28,62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15,31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3224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338,01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1.000,00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223,34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22,33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3225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Sitni inventar i autogume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150,00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1.486,00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468,99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312,66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31,56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3227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Službena, zaštitna i radna odjeća i obuća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237,80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323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Rashodi za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14.466,01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22.971,00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16.145,15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111,61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70,28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Usluge telefona, pošte i prijevoza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2.054,49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4.065,00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3.402,73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165,62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83,71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3232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4.522,79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4.286,00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3.999,25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88,42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93,31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3233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Usluge promidžbe i informiranja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3234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Komunalne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2.907,91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5.440,00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2.829,90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3236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Zdravstvene i veterinarske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2.363,63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2.850,00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2.229,78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78,24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3238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Računalne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1.925,47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4.530,00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2.335,88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51,56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3239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Ostale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691,72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1.800,00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1.347,61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74,87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329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Ostali nespomenuti rashodi poslovanja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2.306,69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5.051,00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2.757,00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119,52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101,00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70,00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3294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Članarine i norme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133,09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150,00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112,71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3295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Pristojbe i naknade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1.046,35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2.600,00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2.108,00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81,08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3296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Troškovi sudskih postupaka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1.010,55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3299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Ostali nespomenuti rashodi poslovanja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116,70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2.100,00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429,00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367,61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20,43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Financijski rashodi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693,70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455,00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217,81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47,87</w:t>
            </w:r>
          </w:p>
        </w:tc>
      </w:tr>
      <w:tr w:rsidR="009D600F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343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Ostali financijski rashodi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693,70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455,00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217,81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47,87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3431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Bankarske usluge i usluge platnog prometa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180,63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217,81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120,58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48,40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3433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Zatezne kamate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513,07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79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12.000,00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12.000,00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3722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Naknade građanima i kućanstvima u naravi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12.000,00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Ostali rashodi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738,00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983,00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133,20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381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Tekuće donacije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738,00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983,00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133,20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3811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Tekuće donacije u novcu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983,00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3812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Tekuće donacije u naravi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738,00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9D600F">
        <w:trPr>
          <w:trHeight w:val="64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Rashodi za nabavu nefinancijske imovine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1.656,78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17.180,00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2.386,28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144,03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13,89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Rashodi za nabavu proizvedene dug. imovine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640,00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13.980,00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860,00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134,38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6,15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424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640,00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13.980,00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860,00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134,38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6,15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4241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Knjige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640,00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13.980,00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860,00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134,38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6,15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9D600F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42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1.016,78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3.200,00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1.526,28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150,11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47,70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422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Postrojenja i oprema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1.016,78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3.200,00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1.526,28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150,11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47,70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4221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Uredska oprema i namještaj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164,78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1.600,00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1.526,28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926,25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95,39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4223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Oprema za održavanje i zaštitu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1.000,00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4227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852,00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600,00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58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00B0F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Ukupni rashodi 3+4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573.815,04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1.402.650,00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B0F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724.969,68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126,34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51,69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MANJAK (92) POKRIVEN TEKUĆIM PRIHODIMA (6+7)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12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Razred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Skupina/podskupina/odjeljak 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Izvor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 xml:space="preserve">Naziv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Izvršenje prethodne godine 01-06/ 2024.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Izvorni plan tekuće godine 2025.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Tekući plan 2025.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Izvršenje tekuće godine 01-06/ 2025.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Indeks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Indeks</w:t>
            </w:r>
          </w:p>
        </w:tc>
      </w:tr>
      <w:tr w:rsidR="009D600F">
        <w:trPr>
          <w:trHeight w:val="42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6=5/2*100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7=5/3*100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Vlastiti izvori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17.149,09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82,94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Rezultat poslovanja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17.149,09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82,94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922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Višak/manjak prihoda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17.149,09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82,94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9222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Manjak prihoda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17.149,09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82,94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Opći prihodi i primici - manjak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10.894,63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Vlastiti prihodi - preneseni rez. 3211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82,94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Prihodi za posebne namjene - manjak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Prihodi za posebne namjene - manjak -MZO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6.254,46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96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Manjak od donacija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0,00</w:t>
            </w:r>
          </w:p>
        </w:tc>
      </w:tr>
      <w:tr w:rsidR="009D600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UKUPNI RASHODI + POKRIVENI MANJAK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590.964,13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1.402.650,00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724.969,68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122,68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51,69</w:t>
            </w:r>
          </w:p>
        </w:tc>
      </w:tr>
    </w:tbl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pStyle w:val="Odlomakpopis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i rashodi prema izvorima financiranj</w:t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"C:\\Users\\Korisnik\\Desktop\\IZVRŠENJE FINANCIJSKOG PLANA + GOD.IZVJ.O POSLOVANJU\\2025\\polugodišnji izvj. o izvršenju 2025\\tabele za PK -godišnji izvještaj01.01.-30.06.2025. (2).xlsx" "PRIHODI I RASHODI PREMA IZVORU !R1C1:R58C7" \</w:instrText>
      </w:r>
      <w:r>
        <w:instrText xml:space="preserve">a \f 4 \h </w:instrText>
      </w:r>
      <w:r>
        <w:fldChar w:fldCharType="separate"/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2620"/>
        <w:gridCol w:w="1220"/>
        <w:gridCol w:w="1460"/>
        <w:gridCol w:w="880"/>
        <w:gridCol w:w="1500"/>
        <w:gridCol w:w="960"/>
        <w:gridCol w:w="960"/>
      </w:tblGrid>
      <w:tr w:rsidR="009D600F">
        <w:trPr>
          <w:trHeight w:val="630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Prihodi prema izvorima financiranja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78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Račun / opis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Izvršenje      01-06/2024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Izvorni plan 2025.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Tekući plan 2025.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Izvršenje     01-06/2025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Indeks  4/1*100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Indeks  4/2*100</w:t>
            </w:r>
          </w:p>
        </w:tc>
      </w:tr>
      <w:tr w:rsidR="009D600F">
        <w:trPr>
          <w:trHeight w:val="97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 PREMA IZVORIMA FINANCIRANJA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D600F">
        <w:trPr>
          <w:trHeight w:val="67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579.751,64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1.399.960,00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644.688,59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46,05</w:t>
            </w:r>
          </w:p>
        </w:tc>
      </w:tr>
      <w:tr w:rsidR="009D600F">
        <w:trPr>
          <w:trHeight w:val="85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63.787,91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77.884,00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34.116,98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43,80</w:t>
            </w:r>
          </w:p>
        </w:tc>
      </w:tr>
      <w:tr w:rsidR="009D600F">
        <w:trPr>
          <w:trHeight w:val="94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26.535,54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15.184,00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33,15</w:t>
            </w:r>
          </w:p>
        </w:tc>
      </w:tr>
      <w:tr w:rsidR="009D600F">
        <w:trPr>
          <w:trHeight w:val="109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1.2. POREZNI PRIHODI ZA DECENTRALIZIRANE FUNKCIJE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37.252,37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29.082,90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46,38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1571,20</w:t>
            </w:r>
          </w:p>
        </w:tc>
      </w:tr>
      <w:tr w:rsidR="009D600F">
        <w:trPr>
          <w:trHeight w:val="878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3.1. OSTALI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1571,20</w:t>
            </w:r>
          </w:p>
        </w:tc>
      </w:tr>
      <w:tr w:rsidR="009D600F">
        <w:trPr>
          <w:trHeight w:val="1043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65,30</w:t>
            </w:r>
          </w:p>
        </w:tc>
      </w:tr>
      <w:tr w:rsidR="009D600F">
        <w:trPr>
          <w:trHeight w:val="94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4.3. OSTALI NAMJENSKI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65,30</w:t>
            </w:r>
          </w:p>
        </w:tc>
      </w:tr>
      <w:tr w:rsidR="009D600F">
        <w:trPr>
          <w:trHeight w:val="94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5. POMOĆI OD EU (GRAD)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35.130,34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45,30</w:t>
            </w:r>
          </w:p>
        </w:tc>
      </w:tr>
      <w:tr w:rsidR="009D600F">
        <w:trPr>
          <w:trHeight w:val="94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5.2. Pomoći od EU (Grad pomoćnici)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35.130,34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45,30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515.344,73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1.241.826,00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573.700,71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46,20</w:t>
            </w:r>
          </w:p>
        </w:tc>
      </w:tr>
      <w:tr w:rsidR="009D600F">
        <w:trPr>
          <w:trHeight w:val="923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5.3. POMOĆI IZ DRŽAVNOG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515.344,73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1.241.500,00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573.630,71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46,20</w:t>
            </w:r>
          </w:p>
        </w:tc>
      </w:tr>
      <w:tr w:rsidR="009D600F">
        <w:trPr>
          <w:trHeight w:val="9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5.4. POMOĆI IZ ŽUPANIJSKOG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21,47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6.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623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6.1. DONACIJE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28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600F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600F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VIŠAK KORIŠTEN ZA POKRIĆE RASHODA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REZULTAT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2.628,96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 VLASTITI PRIHODI - VIŠAK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 PRIHODI ZA POSEBNE NAMJENE VIŠAK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1.484,33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PRIHODI ZA POSEBNE NAMJENE - ŽUPANIJA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94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VIŠAK OD DONACIJA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28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600F">
        <w:trPr>
          <w:trHeight w:val="79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UKUPNI PRIHODI + VIŠAK KORIŠTEN ZA POKRIĆE RASHODA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582.380,60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1.402.650,00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644.688,59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45,96</w:t>
            </w:r>
          </w:p>
        </w:tc>
      </w:tr>
      <w:tr w:rsidR="009D600F">
        <w:trPr>
          <w:trHeight w:val="63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00F" w:rsidRDefault="009D60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889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108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00F" w:rsidRDefault="006D5D61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Rashodi prema izvorima financiranja </w:t>
            </w:r>
          </w:p>
        </w:tc>
      </w:tr>
      <w:tr w:rsidR="009D600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00F" w:rsidRDefault="009D600F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84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Račun / opis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Izvršenje  01-06/2024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Izvorni plan 2025.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Tekući plan 2025.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Izvršenje       01-06/2025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Indeks  4/1*100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Indeks  4/2*100</w:t>
            </w:r>
          </w:p>
        </w:tc>
      </w:tr>
      <w:tr w:rsidR="009D600F">
        <w:trPr>
          <w:trHeight w:val="7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PREMA IZVORIMA FINANCIRANJA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SVEUKUPNI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573.815,04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1.399.960,00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724.886,74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51,78</w:t>
            </w:r>
          </w:p>
        </w:tc>
      </w:tr>
      <w:tr w:rsidR="009D600F">
        <w:trPr>
          <w:trHeight w:val="758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58.066,87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77.884,00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29.340,75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37,67</w:t>
            </w:r>
          </w:p>
        </w:tc>
      </w:tr>
      <w:tr w:rsidR="009D600F">
        <w:trPr>
          <w:trHeight w:val="76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29.561,15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15.184,00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4.901,67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32,28</w:t>
            </w:r>
          </w:p>
        </w:tc>
      </w:tr>
      <w:tr w:rsidR="009D600F">
        <w:trPr>
          <w:trHeight w:val="638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1.2. PRIHODI ZA DECENTRALIZIRANE FUNKCIJE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28.505,72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62.700,00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24.439,08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38,98</w:t>
            </w:r>
          </w:p>
        </w:tc>
      </w:tr>
      <w:tr w:rsidR="009D600F">
        <w:trPr>
          <w:trHeight w:val="70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578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57,05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4.3. NAMJENSKI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57,05</w:t>
            </w:r>
          </w:p>
        </w:tc>
      </w:tr>
      <w:tr w:rsidR="009D600F">
        <w:trPr>
          <w:trHeight w:val="79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Izvor 5.POMOĆI TEMELJEM PRIJENOSA EU SREDSTAVA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32.961,92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42,50</w:t>
            </w:r>
          </w:p>
        </w:tc>
      </w:tr>
      <w:tr w:rsidR="009D600F">
        <w:trPr>
          <w:trHeight w:val="51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5.2. Pomoći temeljem prijenosa EU sred.od grada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32.961,92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42,50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515.129,17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1.241.826,00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661.132,07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53,24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5.3. POMOĆI IZ DRŽAVNOG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515.111,17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1.241.500,00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661.062,07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53,25</w:t>
            </w:r>
          </w:p>
        </w:tc>
      </w:tr>
      <w:tr w:rsidR="009D600F">
        <w:trPr>
          <w:trHeight w:val="78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5.4. POMOĆI IZ ŽUPANIJSKOG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21,47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6.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 6.1.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MANJAK 92 POKRIVEN TEKUĆIM PRIHODIMA 6+7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REZULTAT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17.149,09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3,08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10.894,63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25,13</w:t>
            </w:r>
          </w:p>
        </w:tc>
      </w:tr>
      <w:tr w:rsidR="009D600F">
        <w:trPr>
          <w:trHeight w:val="5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 PRIHODI ZA POSEBNE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POMOĆI - MZO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6.254,46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POMOĆI -ŽUPANIJA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2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600F">
        <w:trPr>
          <w:trHeight w:val="78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UKUPNI RASHODI + MANJAK POKRIVEN TEKUĆIM RASHODIMA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590.964,13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1.402.650,00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724.969,68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51,69</w:t>
            </w:r>
          </w:p>
        </w:tc>
      </w:tr>
    </w:tbl>
    <w:p w:rsidR="009D600F" w:rsidRDefault="006D5D61">
      <w:pPr>
        <w:jc w:val="both"/>
        <w:rPr>
          <w:rFonts w:ascii="Arial" w:hAnsi="Arial" w:cs="Arial"/>
          <w:sz w:val="22"/>
          <w:szCs w:val="22"/>
        </w:rPr>
      </w:pPr>
      <w:r>
        <w:fldChar w:fldCharType="end"/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pStyle w:val="Odlomakpopis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i rashodi prema funkcijskoj klasifikaciji</w:t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"C:\\Users\\Korisnik\\Desktop\\IZVRŠENJE FINANCIJSKOG PLANA + GOD.IZVJ.O POSLOVANJU\\2025\\polugodišnji izvj. o izvršenju 2025\\tabele za PK -godišnji izvještaj01.01.-30.06.2025. (2).xlsx" "Rashodi -funkcijska!R7C1:R14C7" \a \f 4 \h </w:instrText>
      </w:r>
      <w:r>
        <w:fldChar w:fldCharType="separate"/>
      </w:r>
    </w:p>
    <w:tbl>
      <w:tblPr>
        <w:tblW w:w="13400" w:type="dxa"/>
        <w:tblLook w:val="04A0" w:firstRow="1" w:lastRow="0" w:firstColumn="1" w:lastColumn="0" w:noHBand="0" w:noVBand="1"/>
      </w:tblPr>
      <w:tblGrid>
        <w:gridCol w:w="3820"/>
        <w:gridCol w:w="1840"/>
        <w:gridCol w:w="1820"/>
        <w:gridCol w:w="1720"/>
        <w:gridCol w:w="1720"/>
        <w:gridCol w:w="1300"/>
        <w:gridCol w:w="1180"/>
      </w:tblGrid>
      <w:tr w:rsidR="009D600F">
        <w:trPr>
          <w:trHeight w:val="315"/>
        </w:trPr>
        <w:tc>
          <w:tcPr>
            <w:tcW w:w="13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R</w:t>
            </w:r>
            <w:r>
              <w:rPr>
                <w:rFonts w:ascii="Calibri" w:hAnsi="Calibri" w:cs="Calibri"/>
                <w:b/>
                <w:bCs/>
                <w:color w:val="002060"/>
              </w:rPr>
              <w:t>ASHODI PREMA FUNKCIJSKOJ KLASIFIKACIJI</w:t>
            </w:r>
          </w:p>
        </w:tc>
      </w:tr>
      <w:tr w:rsidR="009D600F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 </w:t>
            </w:r>
          </w:p>
        </w:tc>
      </w:tr>
      <w:tr w:rsidR="009D600F">
        <w:trPr>
          <w:trHeight w:val="900"/>
        </w:trPr>
        <w:tc>
          <w:tcPr>
            <w:tcW w:w="3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Izvršenje prethodne godine 01-06/2024</w:t>
            </w:r>
          </w:p>
        </w:tc>
        <w:tc>
          <w:tcPr>
            <w:tcW w:w="18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Plan tekuće godine 2025.</w:t>
            </w:r>
          </w:p>
        </w:tc>
        <w:tc>
          <w:tcPr>
            <w:tcW w:w="17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Tekući plan 2025.</w:t>
            </w:r>
          </w:p>
        </w:tc>
        <w:tc>
          <w:tcPr>
            <w:tcW w:w="17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Izvršenje tekuće godine 01-06/2025</w:t>
            </w:r>
          </w:p>
        </w:tc>
        <w:tc>
          <w:tcPr>
            <w:tcW w:w="130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 xml:space="preserve"> Indeks   6=5/2*100</w:t>
            </w:r>
          </w:p>
        </w:tc>
        <w:tc>
          <w:tcPr>
            <w:tcW w:w="118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 xml:space="preserve">  Indeks   7=4/3*100</w:t>
            </w:r>
          </w:p>
        </w:tc>
      </w:tr>
      <w:tr w:rsidR="009D600F">
        <w:trPr>
          <w:trHeight w:val="225"/>
        </w:trPr>
        <w:tc>
          <w:tcPr>
            <w:tcW w:w="382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7</w:t>
            </w:r>
          </w:p>
        </w:tc>
      </w:tr>
      <w:tr w:rsidR="009D600F">
        <w:trPr>
          <w:trHeight w:val="383"/>
        </w:trPr>
        <w:tc>
          <w:tcPr>
            <w:tcW w:w="382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  <w:t xml:space="preserve">UKUPNO RASHODI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  <w:t>573.815,04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  <w:t>1.402.650,00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2060"/>
                <w:sz w:val="28"/>
                <w:szCs w:val="28"/>
              </w:rPr>
              <w:t>724.969,68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126,34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51,69</w:t>
            </w:r>
          </w:p>
        </w:tc>
      </w:tr>
      <w:tr w:rsidR="009D600F">
        <w:trPr>
          <w:trHeight w:val="345"/>
        </w:trPr>
        <w:tc>
          <w:tcPr>
            <w:tcW w:w="382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09 Obrazovanje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573.815,04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1.402.650,00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724.969,68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126,34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51,69</w:t>
            </w:r>
          </w:p>
        </w:tc>
      </w:tr>
      <w:tr w:rsidR="009D600F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091 Predškolsko i osnovno obrazovanje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573.815,04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1.402.650,00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724.969,68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126,34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51,69</w:t>
            </w:r>
          </w:p>
        </w:tc>
      </w:tr>
      <w:tr w:rsidR="009D600F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0912 Osnovno obrazovanje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573.815,04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1.402.650,00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724.969,68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126,34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51,69</w:t>
            </w:r>
          </w:p>
        </w:tc>
      </w:tr>
    </w:tbl>
    <w:p w:rsidR="009D600F" w:rsidRDefault="006D5D61">
      <w:pPr>
        <w:jc w:val="both"/>
        <w:rPr>
          <w:rFonts w:ascii="Arial" w:hAnsi="Arial" w:cs="Arial"/>
          <w:sz w:val="22"/>
          <w:szCs w:val="22"/>
        </w:rPr>
      </w:pPr>
      <w:r>
        <w:fldChar w:fldCharType="end"/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 financiranja</w:t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Stobreč nema primitke od financijske imovine, a prema tome niti izdatke za financijsku imovinu.</w:t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POSEBNI  DIO</w:t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Posebni dio sadrži izvršenje rashoda i izdataka iskazanih prema programima, aktivnostima, projektima i izvorima financiranja.</w:t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"C:\\Users\\Korisnik\\Desktop\\IZVRŠENJE FINANCIJSKOG PLANA + GOD.IZVJ.O POSLOVANJU\\2025\\polugodišnji izv</w:instrText>
      </w:r>
      <w:r>
        <w:instrText xml:space="preserve">j. o izvršenju 2025\\tabele za PK -godišnji izvještaj01.01.-30.06.2025. (2).xlsx" "POSEBNI_DIO_!R3C1:R360C7" \a \f 4 \h  \* MERGEFORMAT </w:instrText>
      </w:r>
      <w:r>
        <w:fldChar w:fldCharType="separate"/>
      </w:r>
    </w:p>
    <w:tbl>
      <w:tblPr>
        <w:tblW w:w="10190" w:type="dxa"/>
        <w:tblLook w:val="04A0" w:firstRow="1" w:lastRow="0" w:firstColumn="1" w:lastColumn="0" w:noHBand="0" w:noVBand="1"/>
      </w:tblPr>
      <w:tblGrid>
        <w:gridCol w:w="2616"/>
        <w:gridCol w:w="4565"/>
        <w:gridCol w:w="864"/>
        <w:gridCol w:w="1119"/>
        <w:gridCol w:w="1026"/>
      </w:tblGrid>
      <w:tr w:rsidR="009D600F">
        <w:trPr>
          <w:trHeight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/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</w:tbl>
    <w:p w:rsidR="009D600F" w:rsidRDefault="006D5D61">
      <w:pPr>
        <w:jc w:val="both"/>
        <w:rPr>
          <w:rFonts w:ascii="Arial" w:hAnsi="Arial" w:cs="Arial"/>
          <w:sz w:val="22"/>
          <w:szCs w:val="22"/>
        </w:rPr>
      </w:pPr>
      <w:r>
        <w:fldChar w:fldCharType="end"/>
      </w:r>
      <w:r>
        <w:fldChar w:fldCharType="begin"/>
      </w:r>
      <w:r>
        <w:instrText xml:space="preserve"> LINK Excel.Sheet.12 "C:\\Users\\Korisnik\\Desktop\\IZVRŠENJE FINANCIJSKOG PLANA + GOD.IZVJ.O POSLOVANJU\\2025</w:instrText>
      </w:r>
      <w:r>
        <w:instrText xml:space="preserve">\\polugodišnji izvj. o izvršenju 2025\\tabele za PK -godišnji izvještaj01.01.-30.06.-17.7.2025.xlsx" "POSEBNI_DIO_!R2C1:R365C7" \a \f 4 \h </w:instrText>
      </w:r>
      <w:r>
        <w:fldChar w:fldCharType="separate"/>
      </w:r>
    </w:p>
    <w:tbl>
      <w:tblPr>
        <w:tblW w:w="14004" w:type="dxa"/>
        <w:tblLook w:val="04A0" w:firstRow="1" w:lastRow="0" w:firstColumn="1" w:lastColumn="0" w:noHBand="0" w:noVBand="1"/>
      </w:tblPr>
      <w:tblGrid>
        <w:gridCol w:w="2883"/>
        <w:gridCol w:w="5037"/>
        <w:gridCol w:w="265"/>
        <w:gridCol w:w="2870"/>
        <w:gridCol w:w="848"/>
        <w:gridCol w:w="1096"/>
        <w:gridCol w:w="1005"/>
      </w:tblGrid>
      <w:tr w:rsidR="009D600F">
        <w:trPr>
          <w:trHeight w:val="315"/>
        </w:trPr>
        <w:tc>
          <w:tcPr>
            <w:tcW w:w="8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00F" w:rsidRDefault="006D5D6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Izvještaj po programskoj klasifikaciji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7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0F" w:rsidRDefault="009D600F">
            <w:pPr>
              <w:rPr>
                <w:sz w:val="20"/>
                <w:szCs w:val="20"/>
              </w:rPr>
            </w:pPr>
          </w:p>
        </w:tc>
      </w:tr>
      <w:tr w:rsidR="009D600F">
        <w:trPr>
          <w:trHeight w:val="99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2025.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TEKUĆI PLAN 2025.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IZVRŠENO 01-06/2025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</w:t>
            </w:r>
          </w:p>
        </w:tc>
      </w:tr>
      <w:tr w:rsidR="009D600F">
        <w:trPr>
          <w:trHeight w:val="58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6=5/3*100</w:t>
            </w:r>
          </w:p>
        </w:tc>
      </w:tr>
      <w:tr w:rsidR="009D600F">
        <w:trPr>
          <w:trHeight w:val="338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SVEUKUPNO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1.402.650,00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724.969,68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51,69</w:t>
            </w:r>
          </w:p>
        </w:tc>
      </w:tr>
      <w:tr w:rsidR="009D600F">
        <w:trPr>
          <w:trHeight w:val="338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Razdjel 103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UPRAVNI ODJEL ZA DRUŠTVENE DJELATNOSTI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1.402.650,00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724.969,68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51,69</w:t>
            </w:r>
          </w:p>
        </w:tc>
      </w:tr>
      <w:tr w:rsidR="009D600F">
        <w:trPr>
          <w:trHeight w:val="69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Glava 103       01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ODGOJ, OBRAZOVANJE, ZNANOST I TEHNIČKU KULTURU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1.402.650,00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724.969,68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51,69</w:t>
            </w:r>
          </w:p>
        </w:tc>
      </w:tr>
      <w:tr w:rsidR="009D600F">
        <w:trPr>
          <w:trHeight w:val="60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Proračunski korisnik 103       01        16213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STOBREČ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1.402.650,00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724.969,68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51,69</w:t>
            </w:r>
          </w:p>
        </w:tc>
      </w:tr>
      <w:tr w:rsidR="009D600F">
        <w:trPr>
          <w:trHeight w:val="43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Glavni program S02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OSNOVNO ŠKOLSKO OBRAZOVANJE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1.402.650,00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724.969,68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51,69</w:t>
            </w:r>
          </w:p>
        </w:tc>
      </w:tr>
      <w:tr w:rsidR="009D600F">
        <w:trPr>
          <w:trHeight w:val="49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3200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DECENTRALIZIRANE FUNKCIJE - MINIMALNI FINANCIJSKI STANDARD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62.700,00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24.439,08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38,98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A320001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REDOVNA PROGRAMSKA DJELATNOST OSNOVNIH ŠKOLA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59.500,00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22.912,80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38,51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Izvor 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59.500,00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22.912,80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38,51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Izvor 1.1.2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PRIHODI ZA DECENTRALIZIRANE FUNKCIJE - 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59.500,00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22.912,80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38,51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59.500,00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22.912,80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38,51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59.050,00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22.694,99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38,43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5.850,00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3.054,32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52,21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4.900,00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2.717,82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55,47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Stručno usavršavanje zaposlenika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220,00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36,67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350,00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116,50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33,29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35.359,00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6.964,42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19,70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7.850,00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2.171,33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27,66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 i sirovine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39,75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24.979,00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3.823,21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15,31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223,34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22,33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Sitni inventar i autogume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730,00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468,99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64,25</w:t>
            </w:r>
          </w:p>
        </w:tc>
      </w:tr>
      <w:tr w:rsidR="009D600F">
        <w:trPr>
          <w:trHeight w:val="49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300,00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237,80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79,27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16.991,00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12.097,25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71,20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2.065,00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888,73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43,04</w:t>
            </w:r>
          </w:p>
        </w:tc>
      </w:tr>
      <w:tr w:rsidR="009D600F">
        <w:trPr>
          <w:trHeight w:val="503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tekućeg i investicijskog  održavanja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3.686,00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3.999,25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108,50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promidžbe i informiranja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Komunalne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5.440,00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2.829,90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52,02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Zdravstvene i veterinarske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2.229,78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92,91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Računalne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801,98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50,12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1.800,00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1.347,61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74,87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579,00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68,12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Članarine i norme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250,00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150,00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429,00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71,50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217,81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48,40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217,81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48,40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Bankarske usluge i usluge platnog prometa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217,81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48,40</w:t>
            </w:r>
          </w:p>
        </w:tc>
      </w:tr>
      <w:tr w:rsidR="009D600F">
        <w:trPr>
          <w:trHeight w:val="60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A320002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FF"/>
            <w:vAlign w:val="center"/>
            <w:hideMark/>
          </w:tcPr>
          <w:p w:rsidR="009D600F" w:rsidRDefault="006D5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REDOVNO ODRŽAVANJE OBJEKATA OSNOVNIH ŠKOLA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Izvor 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Izvor 1.1.2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PRIHODI ZA DECENTRALIZIRANE FUNKCIJE - 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tekućeg i investicijskog  održavanja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K320001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KAPITALNA ULAGANJA U OPREMU - DECENTRALIZIRANA SREDSTVA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3.200,00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1.526,28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Izvor 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3.200,00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1.526,28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47,70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Izvor 1.1.2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PRIHODI ZA DECENTRALIZIRANE FUNKCIJE - 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3.200,00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1.526,28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47,70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3.200,00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1.526,28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3.200,00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1.526,28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3.200,00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1.526,28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Uredska oprema i namještaj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1.526,28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95,39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 za održavanje i zaštitu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55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3201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ŠIRE JAVNE POTREBE - IZNAD MINIMALNOG STANDARDA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204.900,00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79.970,99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39,03</w:t>
            </w:r>
          </w:p>
        </w:tc>
      </w:tr>
      <w:tr w:rsidR="009D600F">
        <w:trPr>
          <w:trHeight w:val="58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A320102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IZVANNASTAVNE I IZVANŠKOLSKE AKTIVNOSTI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4.739,00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4.330,96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91,39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1.464,00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432,64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29,55</w:t>
            </w:r>
          </w:p>
        </w:tc>
      </w:tr>
      <w:tr w:rsidR="009D600F">
        <w:trPr>
          <w:trHeight w:val="49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1.464,00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432,64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29,55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1.464,00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432,64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29,55</w:t>
            </w:r>
          </w:p>
        </w:tc>
      </w:tr>
      <w:tr w:rsidR="009D600F">
        <w:trPr>
          <w:trHeight w:val="638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664,00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24,64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3,71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664,00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24,64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3,71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408,00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408,00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Računalne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3.1.1.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VLASTITI PRIHODI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518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518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Zatezne kamate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4.3.1.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ZA POSEBNE NAMJENE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1.045,00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1.452,00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138,95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1.045,00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1.452,00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138,95</w:t>
            </w:r>
          </w:p>
        </w:tc>
      </w:tr>
      <w:tr w:rsidR="009D600F">
        <w:trPr>
          <w:trHeight w:val="398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1.045,00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1.452,00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138,95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245,00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245,00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Sitni inventar i autogume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1.452,00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181,50</w:t>
            </w:r>
          </w:p>
        </w:tc>
      </w:tr>
      <w:tr w:rsidR="009D600F">
        <w:trPr>
          <w:trHeight w:val="638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1.452,00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181,50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5.4.1.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226,00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52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226,00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226,00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226,00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70,00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9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Sitni inventar i autogume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156,00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5.3.1.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2.446,32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2.446,32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1.463,32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1.463,32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1.463,32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983,00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983,00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Tekuće donacije u novcu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983,00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Tekuće donacije u naravi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6.1.1.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DONACIJE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3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PRENESENI REZULTAT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1.999,00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9.3.1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VLASTITI PRIHODI -PRENESENI REZULTAT- 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300,00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503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300,00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300,00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300,00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300,00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9.4.1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ZA POSEBNE NAMJENE-PRENESENI REZULTAT-PK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1.499,00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3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1.499,00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1.499,00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1.499,00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999,00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Sitni inventar i autogume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Tekuće donacije u novcu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9.5.1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-PRENESENI REZULTAT-PK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170,00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170,00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170,00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503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170,00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70,00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Sitni inventar i autogume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9.6.1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DONACIJE-PRENESENI REZULTAT-PK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503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A320103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MANIFESTACIJE ODGOJA I ŠKOLSTVA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Stručno usavršavanje zaposlenika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A320104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UDŽBENIKA I PRIBORA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24.000,00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54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građanima i kućanstvima u naravi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5.3.1.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24.000,00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12.000,00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12.000,00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12.000,00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9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građanima i kućanstvima u naravi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12.000,00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12.000,00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12.000,00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12.000,00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12.000,00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A320105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PROMETNI ODGOJ I SIGURNOST U PROMETU - POLIGON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654,00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163,50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654,00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163,50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654,00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163,50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654,00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163,50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654,00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163,50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654,00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163,50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HITNE INTERVENCIJE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458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6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40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tekućeg i investicijskog  održavanja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OKOLIŠA ŠKOLA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E ŠKOLE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2.930,00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1.533,90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52,35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2.930,00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1.533,90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52,35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2.930,00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1.533,90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52,35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2.930,00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1.533,90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52,35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2.930,00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1.533,90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52,35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Računalne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2.930,00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1.533,90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52,35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A320114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VLASTITA I NAMJENSKA SREDSTVA OSNOVNIH ŠKOLA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31,00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3.1.1.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VLASTITI PRIHODI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3223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Energija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4.3.1.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ZA POSEBNE NAMJENE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Stručno usavršavanje zaposlenika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tekućeg i investicijskog  održavanja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PRENESENI REZULTAT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9.3.1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VLASTITI PRIHODI -PRENESENI REZULTAT- 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30,00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9.4.1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ZA POSEBNE NAMJENE-PRENESENI REZULTAT-PK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1,00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A320115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POMOĆNICI U NASTAVI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A320116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OSIGURANJE UČENIKA OŠ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4.3.1.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ZA POSEBNE NAMJENE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1.500,00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T320105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 PROJEKT "S POMOĆNIKOM MOGU BOLJE 5"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T320107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PREHRANA UČENIKA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93.000,00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40.490,21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43,54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9.000,00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1.641,13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18,23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1.641,13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18,23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1.641,13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18,23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1.641,13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18,23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 i sirovine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1.641,13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18,23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5.3.1.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84.000,00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38.849,08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46,25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84.000,00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38.849,08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46,25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84.000,00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38.849,08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46,25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84.000,00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38.849,08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46,25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 i sirovine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84.000,00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38.849,08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46,25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T320111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 PROJEKT "S POMOĆNIKOM MOGU BOLJE 6"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T320112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 PROJEKT "S POMOĆNIKOM MOGU BOLJE 7"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77.550,00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32.961,92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42,50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5.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77.550,00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32.961,92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42,50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5.2.2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TEMELJEM PRIJENOSA EU SREDSTAVA-PRIJENOSI 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77.550,00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32.961,92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42,50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77.550,00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32.961,92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42,50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74.140,00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31.995,03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43,15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59.610,00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25.403,42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42,62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59.610,00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25.403,42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42,62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4.650,00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2.400,00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51,61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4.650,00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2.400,00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51,61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9.880,00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4.191,61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42,43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9.880,00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4.191,61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42,43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3.410,00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966,89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28,35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2.960,00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966,89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32,67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360,00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117,82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32,73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849,07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32,66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Zdravstvene i veterinarske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3202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KAPITALNA ULAGANJA NA OBJEKTIMA OŠ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1.950,00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860,00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44,10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K320201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KUPNJA OPREME ZA OSNOVNE ŠKOLE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Uredska oprema i namještaj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K320250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ŠKOLSKE LEKTIRE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1.950,00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860,00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44,10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1.1.1.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640,00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640,00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640,00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640,00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640,00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640,00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640,00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640,00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640,00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640,00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5.3.1.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220,00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220,00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220,00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220,00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500,00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220,00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6.1.1.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DONACIJE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150,00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PRENESENI REZULTAT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660,00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9.6.1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DONACIJE-PRENESENI REZULTAT-PK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660,00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660,00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660,00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660,00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Knjige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660,00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3203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 U OŠ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1.133.100,00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619.699,61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54,69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A320301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 U OŠ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1.133.100,00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619.699,61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54,69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3.1.1.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VLASTITI PRIHODI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4.3.1.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ZA POSEBNE NAMJENE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5.3.1.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1.133.100,00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619.616,67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54,68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1.133.100,00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619.616,67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54,68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1.112.400,00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609.698,13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54,81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910.000,00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509.392,21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55,98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910.000,00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509.392,21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55,98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50.000,00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16.223,37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32,45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50.000,00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16.223,37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32,45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152.400,00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84.082,55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55,17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152.300,00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84.082,55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55,21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20.700,00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9.918,54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47,92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18.000,00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7.740,54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18.000,00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7.740,54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Zdravstvene i veterinarske usluge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2.700,00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2.178,00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80,67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100,00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70,00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Pristojbe i naknade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2.600,00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2.108,00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81,08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Troškovi sudskih postupaka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Zatezne kamate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PRENESENI REZULTAT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82,94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Izvor 9.3.1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VLASTITI PRIHODI -PRENESENI REZULTAT- PK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82,94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82,94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82,94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82,94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D600F">
        <w:trPr>
          <w:trHeight w:val="31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82,94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0F" w:rsidRDefault="006D5D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9D600F" w:rsidRDefault="006D5D61">
      <w:pPr>
        <w:jc w:val="both"/>
        <w:rPr>
          <w:rFonts w:ascii="Arial" w:hAnsi="Arial" w:cs="Arial"/>
          <w:sz w:val="22"/>
          <w:szCs w:val="22"/>
        </w:rPr>
      </w:pPr>
      <w:r>
        <w:fldChar w:fldCharType="end"/>
      </w: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3.1.OBRAZLOŽENJE OPĆEG DIJELA  POLUGODIŠNJEG IZVJEŠTAJA O  IZVRŠENJU FINANCIJSKOG PLANA</w:t>
      </w:r>
    </w:p>
    <w:p w:rsidR="009D600F" w:rsidRDefault="009D600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Općem dijelu odnosno u Sažetku računa prihoda i rashoda vidljivo je da su se prihodi povećali u odnosu na isto razdoblje lani za 11,2 %, a rashodi za 26,34 %. Razloz</w:t>
      </w:r>
      <w:r>
        <w:rPr>
          <w:rFonts w:ascii="Arial" w:hAnsi="Arial" w:cs="Arial"/>
          <w:sz w:val="22"/>
          <w:szCs w:val="22"/>
        </w:rPr>
        <w:t xml:space="preserve">i tome su uz inflaciju i povećanje cijena energenata,  </w:t>
      </w:r>
      <w:bookmarkStart w:id="2" w:name="_Hlk203672058"/>
      <w:r>
        <w:rPr>
          <w:rFonts w:ascii="Arial" w:hAnsi="Arial" w:cs="Arial"/>
          <w:sz w:val="22"/>
          <w:szCs w:val="22"/>
        </w:rPr>
        <w:t>povećanje broja Pomoćnika EU, učeničke marende, povećanje osnovice za plaće od MZOM-a, povećanje naknade zbog nezapošljavanja invalida, povećanje minimalne plaće</w:t>
      </w:r>
      <w:bookmarkEnd w:id="2"/>
      <w:r>
        <w:rPr>
          <w:rFonts w:ascii="Arial" w:hAnsi="Arial" w:cs="Arial"/>
          <w:sz w:val="22"/>
          <w:szCs w:val="22"/>
        </w:rPr>
        <w:t>.</w:t>
      </w: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Manjak koji se prenosi u iduće razdobl</w:t>
      </w:r>
      <w:r>
        <w:rPr>
          <w:rFonts w:ascii="Arial" w:hAnsi="Arial" w:cs="Arial"/>
          <w:sz w:val="22"/>
          <w:szCs w:val="22"/>
        </w:rPr>
        <w:t xml:space="preserve">je je bitno veći negoli što je bio lani, a razlog je to što od ove godine nema više kontinuiranih rashoda budući razdoblja, te u ovih šest mjeseci imamo iskazane rashode za sedam plaća ( 12/2024, 01/2025, 02/2025, 03/2025, 04/2025, 05/2025 i 06/2025). Što </w:t>
      </w:r>
      <w:r>
        <w:rPr>
          <w:rFonts w:ascii="Arial" w:hAnsi="Arial" w:cs="Arial"/>
          <w:sz w:val="22"/>
          <w:szCs w:val="22"/>
        </w:rPr>
        <w:t>znači da je ovaj manjak metodološki te se odnosi na plaće koje će biti isplaćene u srpnju 2025. te ostale tekuće troškove.</w:t>
      </w: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 su se prihodi u odnosu na plan realizirali oko 46,05 %, a rashodi oko 51,69 %, što je dobro jer znači da se prati plan. </w:t>
      </w:r>
      <w:r>
        <w:rPr>
          <w:rFonts w:ascii="Arial" w:hAnsi="Arial" w:cs="Arial"/>
          <w:sz w:val="22"/>
          <w:szCs w:val="22"/>
        </w:rPr>
        <w:t xml:space="preserve">                Promatrajući izvršenje prihoda prema izvorima financiranja onda se da primijetiti da su se Opći prihodi (izvor 1.1.1.) smanjili  u odnosu na lani za 81,03 %, a u odnosu na plan  je izvršeno tek 33,15 % od plana, a razlog tome je što je od o</w:t>
      </w:r>
      <w:r>
        <w:rPr>
          <w:rFonts w:ascii="Arial" w:hAnsi="Arial" w:cs="Arial"/>
          <w:sz w:val="22"/>
          <w:szCs w:val="22"/>
        </w:rPr>
        <w:t xml:space="preserve">ve godine projekt „S pomoćnikom mogu bolje 7“ iskazan pod posebnim izvorom 5.2.2. Pomoći temeljem prijenosa EU sredstava. </w:t>
      </w: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za decentralizirane funkcije (izvor 1.1.2.) su manji za 21,93 % u odnosu na isto razdoblje lani. Jedan od razloga je i taj što smo prošle godine u ovom izvještajnom razdoblju kupili lož ulje, a ove godine nije bilo potrebe za tim budući da se škola</w:t>
      </w:r>
      <w:r>
        <w:rPr>
          <w:rFonts w:ascii="Arial" w:hAnsi="Arial" w:cs="Arial"/>
          <w:sz w:val="22"/>
          <w:szCs w:val="22"/>
        </w:rPr>
        <w:t xml:space="preserve"> obnavlja, te više neće biti potrebe za nabavkom lož ulja. A u odnosu na plan do sada je iskorišteno 46,38 % sredstava.</w:t>
      </w: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Vlastiti prihodi (izvor 3.1.1.) su prihodi ostvareni od uplate Hep-a za proizvodnju   viška električne energije u 2024. godini</w:t>
      </w: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z</w:t>
      </w:r>
      <w:r>
        <w:rPr>
          <w:rFonts w:ascii="Arial" w:hAnsi="Arial" w:cs="Arial"/>
          <w:sz w:val="22"/>
          <w:szCs w:val="22"/>
        </w:rPr>
        <w:t>a posebne namjene su u odnosu na isto razdoblje lani veći za 168,5 %, a to je zbog toga što smo ostvarili prihod od prodaje maslinovog ulja, te što su djeca išla na puno više izleta, kazališta i  kina u odnosu na isto razdoblje lani. A u odnosu na plan 202</w:t>
      </w:r>
      <w:r>
        <w:rPr>
          <w:rFonts w:ascii="Arial" w:hAnsi="Arial" w:cs="Arial"/>
          <w:sz w:val="22"/>
          <w:szCs w:val="22"/>
        </w:rPr>
        <w:t>5. već je realizirano 65,3% od planiranog iznosa.</w:t>
      </w: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iz državnog proračuna su veće za 11,32 % u odnosu na isto razdoblje lani , a razlog tome su učeničke marende, povećanje osnovice za plaće od MZOM-a, povećanje naknade zbog nezapošljavanja invalida, p</w:t>
      </w:r>
      <w:r>
        <w:rPr>
          <w:rFonts w:ascii="Arial" w:hAnsi="Arial" w:cs="Arial"/>
          <w:sz w:val="22"/>
          <w:szCs w:val="22"/>
        </w:rPr>
        <w:t>ovećanje minimalne plaće  , a ostvarenje ove godine je u skladu s planom od 2025.</w:t>
      </w: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iz Županije lani nismo imali, a ove godine imamo samo uplatu za županijska stručna povjerenstva.</w:t>
      </w:r>
    </w:p>
    <w:p w:rsidR="009D600F" w:rsidRDefault="006D5D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Donacija u ovom razdoblju lani, a ni ove godine nismo imali.</w:t>
      </w:r>
    </w:p>
    <w:p w:rsidR="009D600F" w:rsidRDefault="009D600F">
      <w:pPr>
        <w:spacing w:line="360" w:lineRule="auto"/>
        <w:rPr>
          <w:rFonts w:ascii="Arial" w:hAnsi="Arial" w:cs="Arial"/>
          <w:sz w:val="22"/>
          <w:szCs w:val="22"/>
        </w:rPr>
      </w:pPr>
    </w:p>
    <w:p w:rsidR="009D600F" w:rsidRDefault="006D5D6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3.2. OBR</w:t>
      </w:r>
      <w:r>
        <w:rPr>
          <w:rFonts w:ascii="Arial" w:hAnsi="Arial" w:cs="Arial"/>
          <w:b/>
          <w:sz w:val="22"/>
          <w:szCs w:val="22"/>
        </w:rPr>
        <w:t>AZLOŽENJE POSEBNOG DIJELA POLUGODIŠNJEG  IZVJEŠTAJA O IZVRENJU FINANCIJSKOG PLANA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b/>
          <w:i/>
          <w:color w:val="538135"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PROGRAM:</w:t>
      </w:r>
      <w:r>
        <w:rPr>
          <w:rFonts w:ascii="Arial" w:eastAsia="Calibri" w:hAnsi="Arial" w:cs="Arial"/>
          <w:i/>
          <w:color w:val="FF0000"/>
          <w:sz w:val="22"/>
          <w:szCs w:val="22"/>
        </w:rPr>
        <w:t xml:space="preserve"> DECENTRALIZIRANE FUNKCIJE – MINIMALNI FINANCIJSKI STANDARD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 xml:space="preserve">: </w:t>
      </w:r>
    </w:p>
    <w:p w:rsidR="009D600F" w:rsidRDefault="006D5D61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 - osnovnoškolsko obrazovanje djece</w:t>
      </w:r>
    </w:p>
    <w:p w:rsidR="009D600F" w:rsidRDefault="006D5D61">
      <w:pPr>
        <w:spacing w:line="360" w:lineRule="auto"/>
        <w:ind w:firstLine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-  poticanje izvrsnosti, samostalnosti i</w:t>
      </w:r>
      <w:r>
        <w:rPr>
          <w:rFonts w:ascii="Arial" w:eastAsia="Calibri" w:hAnsi="Arial" w:cs="Arial"/>
          <w:i/>
          <w:sz w:val="22"/>
          <w:szCs w:val="22"/>
        </w:rPr>
        <w:t xml:space="preserve"> kreativnosti kod djece, </w:t>
      </w:r>
    </w:p>
    <w:p w:rsidR="009D600F" w:rsidRDefault="006D5D61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- razvijanje zdravstvene kulture, sportskih navika te ekološke svijesti kroz projekt Eko škole</w:t>
      </w:r>
    </w:p>
    <w:p w:rsidR="009D600F" w:rsidRDefault="006D5D61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- prevencija nasilja i ovisnosti u školi</w:t>
      </w:r>
    </w:p>
    <w:p w:rsidR="009D600F" w:rsidRDefault="006D5D61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- stručno usavršavanje zaposlenika (kroz seminare, tečajeve)</w:t>
      </w:r>
    </w:p>
    <w:p w:rsidR="009D600F" w:rsidRDefault="009D600F">
      <w:pPr>
        <w:spacing w:line="360" w:lineRule="auto"/>
        <w:ind w:left="708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REDOVNA PROGRAMSKA DJELATNOST OŠ STOBREČ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59.500,00 €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REALIZACIJA: </w:t>
      </w:r>
      <w:r>
        <w:rPr>
          <w:rFonts w:ascii="Arial" w:eastAsia="Calibri" w:hAnsi="Arial" w:cs="Arial"/>
          <w:i/>
          <w:sz w:val="22"/>
          <w:szCs w:val="22"/>
        </w:rPr>
        <w:t>22.912,80 €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Kroz Redovnu programsku djelatnost osnivač Grad Split nam plaća troškove za materijal i usluge koji su potrebni za tekuće i investicijsko o</w:t>
      </w:r>
      <w:r>
        <w:rPr>
          <w:rFonts w:ascii="Arial" w:eastAsia="Calibri" w:hAnsi="Arial" w:cs="Arial"/>
          <w:i/>
          <w:sz w:val="22"/>
          <w:szCs w:val="22"/>
        </w:rPr>
        <w:t>državanje građevinskih objekata, postrojenja i opreme. Također kroz ovaj projekt su financirani financijski rashodi, rashodi za električnu energiju i energente te zdravstveni pregledi zaposlenika. Iznos / kriterij za planiranje je dobiven pomoću broja učen</w:t>
      </w:r>
      <w:r>
        <w:rPr>
          <w:rFonts w:ascii="Arial" w:eastAsia="Calibri" w:hAnsi="Arial" w:cs="Arial"/>
          <w:i/>
          <w:sz w:val="22"/>
          <w:szCs w:val="22"/>
        </w:rPr>
        <w:t>ika koji su upisani u 2024.godini raspoređenih u 16 razrednih odjela. Rashodi u redovnoj programskoj djelatnosti su izvršeni u skladu s planom 2025. 38,51 %, a manji su zbog toga što nije bilo nabavke lož ulja u istom razdoblju kao i lani.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 KAPITALNA ULAGANJA U OPREMU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3200,00 €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1.526,28 €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Kroz projekt Kapitalna ulaganja u opremu Grad Split nam financira 200,00 eura po razrednom odjelu, a mi uvijek imamo 16 razrednih odjela</w:t>
      </w:r>
      <w:r>
        <w:rPr>
          <w:rFonts w:ascii="Arial" w:eastAsia="Calibri" w:hAnsi="Arial" w:cs="Arial"/>
          <w:i/>
          <w:sz w:val="22"/>
          <w:szCs w:val="22"/>
        </w:rPr>
        <w:t>. Na taj način svake godine učionice opremamo digitalnom tehnologijom, namještajem i opremom. Kao što je vidljivo do sada smo potrošili samo 47,7 % tih sredstava, a do kraja godine će se i preostalo potrošiti.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PROGRAM</w:t>
      </w:r>
      <w:r>
        <w:rPr>
          <w:rFonts w:ascii="Arial" w:eastAsia="Calibri" w:hAnsi="Arial" w:cs="Arial"/>
          <w:b/>
          <w:i/>
          <w:color w:val="FF0000"/>
          <w:sz w:val="22"/>
          <w:szCs w:val="22"/>
        </w:rPr>
        <w:t>:</w:t>
      </w:r>
      <w:r>
        <w:rPr>
          <w:rFonts w:ascii="Arial" w:eastAsia="Calibri" w:hAnsi="Arial" w:cs="Arial"/>
          <w:i/>
          <w:color w:val="FF0000"/>
          <w:sz w:val="22"/>
          <w:szCs w:val="22"/>
        </w:rPr>
        <w:t xml:space="preserve">  ŠIRE JAVNE POTREBE – IZNAD MINIMAL</w:t>
      </w:r>
      <w:r>
        <w:rPr>
          <w:rFonts w:ascii="Arial" w:eastAsia="Calibri" w:hAnsi="Arial" w:cs="Arial"/>
          <w:i/>
          <w:color w:val="FF0000"/>
          <w:sz w:val="22"/>
          <w:szCs w:val="22"/>
        </w:rPr>
        <w:t>NOG STANDARDA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 poticanje što više učenika da se zainteresira za Tehničku kulturu, te proširiti znanje učenika stečeno na redovnoj nastavi.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KLUB MLADIH TEHNIČARA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</w:t>
      </w:r>
      <w:r>
        <w:rPr>
          <w:rFonts w:ascii="Arial" w:eastAsia="Calibri" w:hAnsi="Arial" w:cs="Arial"/>
          <w:b/>
          <w:i/>
          <w:sz w:val="22"/>
          <w:szCs w:val="22"/>
        </w:rPr>
        <w:t xml:space="preserve">KA VRIJEDNOST: </w:t>
      </w:r>
      <w:r>
        <w:rPr>
          <w:rFonts w:ascii="Arial" w:eastAsia="Calibri" w:hAnsi="Arial" w:cs="Arial"/>
          <w:i/>
          <w:sz w:val="22"/>
          <w:szCs w:val="22"/>
        </w:rPr>
        <w:t xml:space="preserve">664,00 €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24,64 €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U okviru izvannastavnih i izvanškolskih aktivnosti za klubove mladih tehničara osnivač dodjeljuje 664,00 eura školama do 400 učenika. Iz realizacije je vidljivo da smo do sada potrošili samo 3,71</w:t>
      </w:r>
      <w:r>
        <w:rPr>
          <w:rFonts w:ascii="Arial" w:eastAsia="Calibri" w:hAnsi="Arial" w:cs="Arial"/>
          <w:i/>
          <w:sz w:val="22"/>
          <w:szCs w:val="22"/>
        </w:rPr>
        <w:t xml:space="preserve"> % od planiranog iznosa.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 upoznati učenike s izgradnjom palače, izmjenama kroz povijesna razdoblja, istaknuti njenu važnost u hrvatskoj i svjetskoj kulturnoj baštini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</w:t>
      </w:r>
      <w:r>
        <w:rPr>
          <w:rFonts w:ascii="Arial" w:eastAsia="Calibri" w:hAnsi="Arial" w:cs="Arial"/>
          <w:i/>
          <w:sz w:val="22"/>
          <w:szCs w:val="22"/>
        </w:rPr>
        <w:t>– DIOKLECIJANOVA ŠKRINJICA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400,00 €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240,00 €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U okviru izvannastavnih i iz</w:t>
      </w:r>
      <w:r>
        <w:rPr>
          <w:rFonts w:ascii="Arial" w:eastAsia="Calibri" w:hAnsi="Arial" w:cs="Arial"/>
          <w:i/>
          <w:sz w:val="22"/>
          <w:szCs w:val="22"/>
        </w:rPr>
        <w:t>vanškolskih aktivnosti učenike se vodi u Dioklecijanovu palaču, te je ove godine  ovaj projekt  odrađen u skladu s planom i programom. Planirali smo više zbog toga što cijene energenata rastu doslovno svakodnevno.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 razvijati ekol</w:t>
      </w:r>
      <w:r>
        <w:rPr>
          <w:rFonts w:ascii="Arial" w:eastAsia="Calibri" w:hAnsi="Arial" w:cs="Arial"/>
          <w:i/>
          <w:sz w:val="22"/>
          <w:szCs w:val="22"/>
        </w:rPr>
        <w:t>ošku svijest kod učenika, ljubav prema prirodi i očuvanju iste. Prepoznati utjecaj čovjeka na okoliš. Shvatiti važnost očuvanja kulturne i prirodne baštine Marjana.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BLAGO NAŠEG MARJANA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</w:t>
      </w:r>
      <w:r>
        <w:rPr>
          <w:rFonts w:ascii="Arial" w:eastAsia="Calibri" w:hAnsi="Arial" w:cs="Arial"/>
          <w:b/>
          <w:i/>
          <w:sz w:val="22"/>
          <w:szCs w:val="22"/>
        </w:rPr>
        <w:t xml:space="preserve"> VRIJEDNOST: </w:t>
      </w:r>
      <w:r>
        <w:rPr>
          <w:rFonts w:ascii="Arial" w:eastAsia="Calibri" w:hAnsi="Arial" w:cs="Arial"/>
          <w:i/>
          <w:sz w:val="22"/>
          <w:szCs w:val="22"/>
        </w:rPr>
        <w:t xml:space="preserve">400,00 €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168,00 €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U okviru izvannastavnih i izvanškolskih aktivnosti učenike se vodi na Marjan , te je ove godine ovaj projekt odrađen u skladu s planom i programom. Planirali smo više zbog toga što cijene energenata rastu doslovno svakodnevno.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</w:t>
      </w:r>
      <w:r>
        <w:rPr>
          <w:rFonts w:ascii="Arial" w:eastAsia="Calibri" w:hAnsi="Arial" w:cs="Arial"/>
          <w:i/>
          <w:sz w:val="22"/>
          <w:szCs w:val="22"/>
        </w:rPr>
        <w:t xml:space="preserve"> razvijati kod učenika naviku odlaska u kino, kazalište ili posjet muzejima te ih učiti kulturnom ponašanju u navedenim ustanovama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PRIHODI ZA POSEBNE NAMJENE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1.045,00 €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</w:t>
      </w:r>
      <w:r>
        <w:rPr>
          <w:rFonts w:ascii="Arial" w:eastAsia="Calibri" w:hAnsi="Arial" w:cs="Arial"/>
          <w:i/>
          <w:sz w:val="22"/>
          <w:szCs w:val="22"/>
        </w:rPr>
        <w:t>ALIZACIJA: 1.452,00 €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U okviru izvannastavnih i izvanškolskih aktivnosti učenike se vodi u kazalište, kino, te druge kulturne ustanove, a troškove financiraju roditelji učenika. Vidljivo je da smo potrošili 38,95 % više od planiranog, a razl</w:t>
      </w:r>
      <w:r>
        <w:rPr>
          <w:rFonts w:ascii="Arial" w:eastAsia="Calibri" w:hAnsi="Arial" w:cs="Arial"/>
          <w:i/>
          <w:sz w:val="22"/>
          <w:szCs w:val="22"/>
        </w:rPr>
        <w:t>og je taj što su ove godine imali više terenske nastave.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IZVANNASTAVNE I IZVANŠKOLSKE AKTIVNOSTI – POMOĆI IZ DRŽAVNOG PRORAČUNA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0,00 €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2.446,32 €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krajem prošle godine Ministarstvo je up</w:t>
      </w:r>
      <w:r>
        <w:rPr>
          <w:rFonts w:ascii="Arial" w:eastAsia="Calibri" w:hAnsi="Arial" w:cs="Arial"/>
          <w:i/>
          <w:sz w:val="22"/>
          <w:szCs w:val="22"/>
        </w:rPr>
        <w:t>latilo dio  prihoda  (koji nije bio planiran, budući da nismo ni znali za njega) za nabavku psihodijagnostičkih sredstava koja su namijenjena za zaštitu i unapređenje mentalnog zdravlja učenika, a početkom ove godine i ostatak sredstava, pa smo nabavili 1.</w:t>
      </w:r>
      <w:r>
        <w:rPr>
          <w:rFonts w:ascii="Arial" w:eastAsia="Calibri" w:hAnsi="Arial" w:cs="Arial"/>
          <w:i/>
          <w:sz w:val="22"/>
          <w:szCs w:val="22"/>
        </w:rPr>
        <w:t xml:space="preserve">463,32 € materijala koji su odobreni odlukom MZOM-a. A 983,00 € su utrošena za potrebe ukrajinskih učenika kao što su financiranje dijela cijene ekskurzije za tri ukrajinska učenika, izleti, karte za kazališta, kina, materijali za učenje. Ovo također nije </w:t>
      </w:r>
      <w:r>
        <w:rPr>
          <w:rFonts w:ascii="Arial" w:eastAsia="Calibri" w:hAnsi="Arial" w:cs="Arial"/>
          <w:i/>
          <w:sz w:val="22"/>
          <w:szCs w:val="22"/>
        </w:rPr>
        <w:t>bilo planirano budući da nismo mogli predvidjeti hoće li biti potrebe za tim.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 PROMETNI ODGOJ I SIGURNOST U PROMETU – PROMETNI POLIGON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PLANSKA VRIJEDNOST: </w:t>
      </w:r>
      <w:r>
        <w:rPr>
          <w:rFonts w:ascii="Arial" w:eastAsia="Calibri" w:hAnsi="Arial" w:cs="Arial"/>
          <w:i/>
          <w:sz w:val="22"/>
          <w:szCs w:val="22"/>
        </w:rPr>
        <w:t xml:space="preserve">400,00 €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654,00 €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Kroz ovaj projekt učenike 3., 4.</w:t>
      </w:r>
      <w:r>
        <w:rPr>
          <w:rFonts w:ascii="Arial" w:eastAsia="Calibri" w:hAnsi="Arial" w:cs="Arial"/>
          <w:i/>
          <w:sz w:val="22"/>
          <w:szCs w:val="22"/>
        </w:rPr>
        <w:t xml:space="preserve"> i 5. razreda učimo prometnoj kulturi i usvajanju prometnih pravila (pješaci i biciklisti). Upoznaju se s prometnim znakovima, primjenom propisa i prometne signalizacije te sigurno kretanje prometnicom. Projekt je realiziran. Realizirano je 63,5 % više od </w:t>
      </w:r>
      <w:r>
        <w:rPr>
          <w:rFonts w:ascii="Arial" w:eastAsia="Calibri" w:hAnsi="Arial" w:cs="Arial"/>
          <w:i/>
          <w:sz w:val="22"/>
          <w:szCs w:val="22"/>
        </w:rPr>
        <w:t>plana zbog povećanja cijene prijevoza.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PROJEKT E-ŠKOLE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2.930,00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1.533,90 €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Škola ima ugovorenu vanjsku uslugu za tehničku podršku, a troškovi su određeni ugovorom. Također imamo sklopljen ugovor sa firmom koja nam je omogućila digitalno uredsko poslovanje. Za sada su troškovi realizirani u iznosu od 52,35 % od plana.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jc w:val="both"/>
        <w:rPr>
          <w:rFonts w:ascii="Arial" w:hAnsi="Arial" w:cs="Arial"/>
          <w:b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PREHRANA UČENIKA - Grad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9.000,00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1.641,13 €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Od 9.1.2023. godine uveden je projekt PREHRANA UČENIKA u sve osnovne škole. Budući da škola nema kuhinju, marenda se nabavlja od vanjskih s</w:t>
      </w:r>
      <w:r>
        <w:rPr>
          <w:rFonts w:ascii="Arial" w:eastAsia="Calibri" w:hAnsi="Arial" w:cs="Arial"/>
          <w:i/>
          <w:sz w:val="22"/>
          <w:szCs w:val="22"/>
        </w:rPr>
        <w:t>uradnika. Rashode za nabavu marende do iznosa 1,33 eur/kom snosi MZOM, a sve preko tog iznosa grad Split. Za rashode koje financira Grad je utrošeno 18,23 % od plana, a razlog zašto je tako malo utrošeno je taj što je cijena marende manja od 1,33 € nakon š</w:t>
      </w:r>
      <w:r>
        <w:rPr>
          <w:rFonts w:ascii="Arial" w:eastAsia="Calibri" w:hAnsi="Arial" w:cs="Arial"/>
          <w:i/>
          <w:sz w:val="22"/>
          <w:szCs w:val="22"/>
        </w:rPr>
        <w:t>to je potpisan ugovor s pekarom Babić , pa je onda cijeli trošak išao na MZOM.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PREHRANA UČENIKA – Ministarstvo znanosti, obrazovanja i mladih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84.000,00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38.849,08 €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Od 9.1.2023. godin</w:t>
      </w:r>
      <w:r>
        <w:rPr>
          <w:rFonts w:ascii="Arial" w:eastAsia="Calibri" w:hAnsi="Arial" w:cs="Arial"/>
          <w:i/>
          <w:sz w:val="22"/>
          <w:szCs w:val="22"/>
        </w:rPr>
        <w:t>e uveden je projekt PREHRANA UČENIKA u sve osnovne škole. Budući da škola nema kuhinju, marenda se nabavlja od vanjskih suradnika. Rashode za nabavu marende do iznosa 1,33 eur/kom snosi MZOM. Za rashode koje financira Ministarstvo je utrošeno 46,25 % od pl</w:t>
      </w:r>
      <w:r>
        <w:rPr>
          <w:rFonts w:ascii="Arial" w:eastAsia="Calibri" w:hAnsi="Arial" w:cs="Arial"/>
          <w:i/>
          <w:sz w:val="22"/>
          <w:szCs w:val="22"/>
        </w:rPr>
        <w:t>ana.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POMOĆI TEMELJEM PRIJENOSA EU SREDSTAVA – S POMOĆNIKOM MOGU BOLJE 7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77.550,00</w:t>
      </w:r>
      <w:r>
        <w:rPr>
          <w:rFonts w:ascii="Arial" w:eastAsia="Calibri" w:hAnsi="Arial" w:cs="Arial"/>
          <w:i/>
          <w:sz w:val="22"/>
          <w:szCs w:val="22"/>
        </w:rPr>
        <w:t xml:space="preserve">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32.961,92 €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projekt kojim se pomaže djeci s poteškoćama u razvoju, za sada je realizirano 42,5% od pl</w:t>
      </w:r>
      <w:r>
        <w:rPr>
          <w:rFonts w:ascii="Arial" w:eastAsia="Calibri" w:hAnsi="Arial" w:cs="Arial"/>
          <w:i/>
          <w:sz w:val="22"/>
          <w:szCs w:val="22"/>
        </w:rPr>
        <w:t>ana.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PROGRAM</w:t>
      </w:r>
      <w:r>
        <w:rPr>
          <w:rFonts w:ascii="Arial" w:eastAsia="Calibri" w:hAnsi="Arial" w:cs="Arial"/>
          <w:b/>
          <w:i/>
          <w:color w:val="FF0000"/>
          <w:sz w:val="22"/>
          <w:szCs w:val="22"/>
        </w:rPr>
        <w:t>: KAPITALNA ULAGANJA U OŠ IZNAD STANDARDA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CILJEVI PROVEDBE PROGRAMA</w:t>
      </w:r>
      <w:r>
        <w:rPr>
          <w:rFonts w:ascii="Arial" w:eastAsia="Calibri" w:hAnsi="Arial" w:cs="Arial"/>
          <w:i/>
          <w:sz w:val="22"/>
          <w:szCs w:val="22"/>
        </w:rPr>
        <w:t>: kupnja lektirne građe za knjižnice u OŠ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NABAVKA ŠKOLSKE LEKTIRE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1.950,00</w:t>
      </w:r>
      <w:r>
        <w:rPr>
          <w:rFonts w:ascii="Arial" w:eastAsia="Calibri" w:hAnsi="Arial" w:cs="Arial"/>
          <w:i/>
          <w:sz w:val="22"/>
          <w:szCs w:val="22"/>
        </w:rPr>
        <w:t xml:space="preserve"> €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REALIZACIJA: 860,00 €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Svake godine dobijemo uplatu od osnivača za nabavku školske lektire te od Ministarstva koja bude krajem godine. Pa je zbog toga do sada realizirana kupovina 44,1% od plana.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PROGRAM</w:t>
      </w:r>
      <w:r>
        <w:rPr>
          <w:rFonts w:ascii="Arial" w:eastAsia="Calibri" w:hAnsi="Arial" w:cs="Arial"/>
          <w:b/>
          <w:i/>
          <w:color w:val="FF0000"/>
          <w:sz w:val="22"/>
          <w:szCs w:val="22"/>
        </w:rPr>
        <w:t>: RASHODI ZA ZAPOSLENE U OŠ</w:t>
      </w:r>
    </w:p>
    <w:p w:rsidR="009D600F" w:rsidRDefault="009D600F">
      <w:pPr>
        <w:spacing w:line="360" w:lineRule="auto"/>
        <w:jc w:val="both"/>
        <w:rPr>
          <w:rFonts w:ascii="Arial" w:eastAsia="Calibri" w:hAnsi="Arial" w:cs="Arial"/>
          <w:b/>
          <w:i/>
          <w:color w:val="FF0000"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CILJ PROGRAMA: </w:t>
      </w:r>
      <w:r>
        <w:rPr>
          <w:rFonts w:ascii="Arial" w:eastAsia="Calibri" w:hAnsi="Arial" w:cs="Arial"/>
          <w:i/>
          <w:sz w:val="22"/>
          <w:szCs w:val="22"/>
        </w:rPr>
        <w:t>Zadovoljstvo djelatnika te usklađenost sa pedagoškim standardima.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RASHODI ZA ZAPOSLENE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1.133.100,00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619.616,67 €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 Održavanje zadovoljstva zaposlenika povećanjem osnovice na plaću, koef</w:t>
      </w:r>
      <w:r>
        <w:rPr>
          <w:rFonts w:ascii="Arial" w:eastAsia="Calibri" w:hAnsi="Arial" w:cs="Arial"/>
          <w:i/>
          <w:sz w:val="22"/>
          <w:szCs w:val="22"/>
        </w:rPr>
        <w:t>icijenata, darova, uskrsnica, regresa te održavanje pedagoškog standarda što se tiče broja učenika u razrednom odjelu. Rashodi su realizirani sukladno planu 54,68%.</w:t>
      </w:r>
    </w:p>
    <w:p w:rsidR="009D600F" w:rsidRDefault="009D600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9D600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9D600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PROJEKT / AKTIVNOST: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</w:rPr>
        <w:t>RASHODI ZA ZAPOSLENE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PLANSKA VRIJEDNOST: 0,00</w:t>
      </w:r>
      <w:r>
        <w:rPr>
          <w:rFonts w:ascii="Arial" w:eastAsia="Calibri" w:hAnsi="Arial" w:cs="Arial"/>
          <w:i/>
          <w:sz w:val="22"/>
          <w:szCs w:val="22"/>
        </w:rPr>
        <w:t xml:space="preserve"> € </w:t>
      </w:r>
    </w:p>
    <w:p w:rsidR="009D600F" w:rsidRDefault="006D5D61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REALIZACIJA : 82,9</w:t>
      </w:r>
      <w:r>
        <w:rPr>
          <w:rFonts w:ascii="Arial" w:eastAsia="Calibri" w:hAnsi="Arial" w:cs="Arial"/>
          <w:i/>
          <w:sz w:val="22"/>
          <w:szCs w:val="22"/>
        </w:rPr>
        <w:t>4 €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OBRAZLOŽENJE: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i/>
          <w:sz w:val="22"/>
          <w:szCs w:val="22"/>
        </w:rPr>
        <w:t xml:space="preserve"> ovaj iznos je potrošen na oporezive dnevnice za tri pomoćnice u nastavi koje su išle s djecom na izlet. Pomoćnice su ostvarile punu dnevnicu, ali zbog duljine trajanja izleta, prema poreznom zakonu pola dnevnice je neoporezivo, a druga polovica je oporezi</w:t>
      </w:r>
      <w:r>
        <w:rPr>
          <w:rFonts w:ascii="Arial" w:eastAsia="Calibri" w:hAnsi="Arial" w:cs="Arial"/>
          <w:i/>
          <w:sz w:val="22"/>
          <w:szCs w:val="22"/>
        </w:rPr>
        <w:t>va. Ovu oporezivu dnevnicu su nam odbili platiti iz projekta S pomoćnikom mogu bolje 7, pa smo je financirali iz viška vlastitih sredstava.</w:t>
      </w:r>
    </w:p>
    <w:p w:rsidR="009D600F" w:rsidRDefault="009D600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6D5D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4.POSEBNI IZVJEŠTAJI </w:t>
      </w:r>
    </w:p>
    <w:p w:rsidR="009D600F" w:rsidRDefault="009D600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4.1. Izvještaj o korištenju sredstava fondova Europske unije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 </w:t>
      </w: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Osnovna škola Stobreč nije k</w:t>
      </w:r>
      <w:r>
        <w:rPr>
          <w:rFonts w:ascii="Arial" w:eastAsia="Calibri" w:hAnsi="Arial" w:cs="Arial"/>
          <w:i/>
          <w:sz w:val="22"/>
          <w:szCs w:val="22"/>
        </w:rPr>
        <w:t>oristila sredstva iz fondova Europske unije.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4.2. Izvještaj o zaduživanju na domaćem i stranom tržištu novca i kapitala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Osnovna škola Stobreč se nije zaduživala na domaćem i stranom tržištu novca i kapitala.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>4.3.Izvještaj od danim zajmovima i potraživan</w:t>
      </w:r>
      <w:r>
        <w:rPr>
          <w:rFonts w:ascii="Arial" w:eastAsia="Calibri" w:hAnsi="Arial" w:cs="Arial"/>
          <w:b/>
          <w:i/>
          <w:sz w:val="22"/>
          <w:szCs w:val="22"/>
        </w:rPr>
        <w:t>jima po danim zajmovima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Osnovna škola Stobreč nema danih zajmova, a sukladno tome ni potraživanja po danim zajmovima.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t xml:space="preserve">4.4. Izvještaj o stanju potraživanja i dospjelih obveza te o stanju potencijalnih obveza po  osnovi sudskih sporova 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6D5D61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Osnovna škola Stobreč nema nenaplaćenih potraživanja.</w:t>
      </w: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jc w:val="both"/>
        <w:rPr>
          <w:rFonts w:ascii="Arial" w:eastAsia="Calibri" w:hAnsi="Arial" w:cs="Arial"/>
          <w:i/>
          <w:sz w:val="22"/>
          <w:szCs w:val="22"/>
        </w:rPr>
      </w:pPr>
    </w:p>
    <w:p w:rsidR="009D600F" w:rsidRDefault="009D600F">
      <w:pPr>
        <w:rPr>
          <w:rFonts w:ascii="Arial" w:hAnsi="Arial" w:cs="Arial"/>
          <w:sz w:val="22"/>
          <w:szCs w:val="22"/>
        </w:rPr>
      </w:pPr>
    </w:p>
    <w:p w:rsidR="009D600F" w:rsidRDefault="009D600F">
      <w:pPr>
        <w:rPr>
          <w:rFonts w:ascii="Arial" w:hAnsi="Arial" w:cs="Arial"/>
          <w:sz w:val="22"/>
          <w:szCs w:val="22"/>
        </w:rPr>
      </w:pPr>
    </w:p>
    <w:p w:rsidR="009D600F" w:rsidRDefault="006D5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Ravnateljica:</w:t>
      </w:r>
    </w:p>
    <w:p w:rsidR="009D600F" w:rsidRDefault="009D600F">
      <w:pPr>
        <w:rPr>
          <w:rFonts w:ascii="Arial" w:hAnsi="Arial" w:cs="Arial"/>
          <w:sz w:val="22"/>
          <w:szCs w:val="22"/>
        </w:rPr>
      </w:pPr>
    </w:p>
    <w:p w:rsidR="009D600F" w:rsidRDefault="006D5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</w:p>
    <w:p w:rsidR="009D600F" w:rsidRDefault="006D5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Marina Baćak, prof.</w:t>
      </w:r>
    </w:p>
    <w:p w:rsidR="009D600F" w:rsidRDefault="009D600F">
      <w:pPr>
        <w:rPr>
          <w:rFonts w:ascii="Arial" w:hAnsi="Arial" w:cs="Arial"/>
          <w:sz w:val="22"/>
          <w:szCs w:val="22"/>
        </w:rPr>
      </w:pPr>
    </w:p>
    <w:p w:rsidR="009D600F" w:rsidRDefault="009D600F"/>
    <w:sectPr w:rsidR="009D600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61" w:rsidRDefault="006D5D61">
      <w:r>
        <w:separator/>
      </w:r>
    </w:p>
  </w:endnote>
  <w:endnote w:type="continuationSeparator" w:id="0">
    <w:p w:rsidR="006D5D61" w:rsidRDefault="006D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270052"/>
      <w:docPartObj>
        <w:docPartGallery w:val="Page Numbers (Bottom of Page)"/>
        <w:docPartUnique/>
      </w:docPartObj>
    </w:sdtPr>
    <w:sdtEndPr/>
    <w:sdtContent>
      <w:p w:rsidR="009D600F" w:rsidRDefault="006D5D61">
        <w:pPr>
          <w:pStyle w:val="Podnoje"/>
          <w:jc w:val="right"/>
        </w:pPr>
        <w:r>
          <w:fldChar w:fldCharType="begin"/>
        </w:r>
        <w:r>
          <w:instrText>PAGE   \* MERGEFORMA</w:instrText>
        </w:r>
        <w:r>
          <w:instrText>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600F" w:rsidRDefault="009D60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61" w:rsidRDefault="006D5D61">
      <w:r>
        <w:separator/>
      </w:r>
    </w:p>
  </w:footnote>
  <w:footnote w:type="continuationSeparator" w:id="0">
    <w:p w:rsidR="006D5D61" w:rsidRDefault="006D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0F2C"/>
    <w:multiLevelType w:val="multilevel"/>
    <w:tmpl w:val="ED8E2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073A34"/>
    <w:multiLevelType w:val="multilevel"/>
    <w:tmpl w:val="F6A80C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435E37FA"/>
    <w:multiLevelType w:val="multilevel"/>
    <w:tmpl w:val="F94ED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14E06"/>
    <w:multiLevelType w:val="multilevel"/>
    <w:tmpl w:val="BD809316"/>
    <w:lvl w:ilvl="0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0F"/>
    <w:rsid w:val="005936B4"/>
    <w:rsid w:val="006D5D61"/>
    <w:rsid w:val="009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87EE0-4A2D-467B-9967-844B01B8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79">
    <w:name w:val="xl79"/>
    <w:basedOn w:val="Normal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83">
    <w:name w:val="xl83"/>
    <w:basedOn w:val="Normal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16"/>
      <w:szCs w:val="16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16"/>
      <w:szCs w:val="16"/>
    </w:rPr>
  </w:style>
  <w:style w:type="paragraph" w:customStyle="1" w:styleId="xl112">
    <w:name w:val="xl112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13">
    <w:name w:val="xl113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2060"/>
      <w:sz w:val="16"/>
      <w:szCs w:val="16"/>
    </w:rPr>
  </w:style>
  <w:style w:type="paragraph" w:customStyle="1" w:styleId="xl115">
    <w:name w:val="xl115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16">
    <w:name w:val="xl116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7">
    <w:name w:val="xl11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8">
    <w:name w:val="xl1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0">
    <w:name w:val="xl120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22">
    <w:name w:val="xl122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23">
    <w:name w:val="xl123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24">
    <w:name w:val="xl124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125">
    <w:name w:val="xl125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126">
    <w:name w:val="xl126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7">
    <w:name w:val="xl127"/>
    <w:basedOn w:val="Normal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32">
    <w:name w:val="xl132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DD7EE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DD7EE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52">
    <w:name w:val="xl1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57">
    <w:name w:val="xl1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59">
    <w:name w:val="xl1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sz w:val="22"/>
      <w:szCs w:val="22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61">
    <w:name w:val="xl1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164">
    <w:name w:val="xl16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65">
    <w:name w:val="xl16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66">
    <w:name w:val="xl16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70">
    <w:name w:val="xl1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71">
    <w:name w:val="xl1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72">
    <w:name w:val="xl1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74">
    <w:name w:val="xl1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75">
    <w:name w:val="xl1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00B0F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76">
    <w:name w:val="xl1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77">
    <w:name w:val="xl1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00B0F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78">
    <w:name w:val="xl1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79">
    <w:name w:val="xl1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80">
    <w:name w:val="xl1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81">
    <w:name w:val="xl1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82">
    <w:name w:val="xl1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83">
    <w:name w:val="xl1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84">
    <w:name w:val="xl1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85">
    <w:name w:val="xl1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86">
    <w:name w:val="xl1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87">
    <w:name w:val="xl1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88">
    <w:name w:val="xl1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DD7EE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89">
    <w:name w:val="xl1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90">
    <w:name w:val="xl1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192">
    <w:name w:val="xl1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93">
    <w:name w:val="xl1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94">
    <w:name w:val="xl1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95">
    <w:name w:val="xl1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96">
    <w:name w:val="xl1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197">
    <w:name w:val="xl19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198">
    <w:name w:val="xl1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199">
    <w:name w:val="xl1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00">
    <w:name w:val="xl2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01">
    <w:name w:val="xl2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02">
    <w:name w:val="xl2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03">
    <w:name w:val="xl2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04">
    <w:name w:val="xl2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05">
    <w:name w:val="xl2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206">
    <w:name w:val="xl2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207">
    <w:name w:val="xl2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08">
    <w:name w:val="xl2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209">
    <w:name w:val="xl2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210">
    <w:name w:val="xl2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11">
    <w:name w:val="xl2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12">
    <w:name w:val="xl2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13">
    <w:name w:val="xl21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14">
    <w:name w:val="xl2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15">
    <w:name w:val="xl2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216">
    <w:name w:val="xl2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217">
    <w:name w:val="xl21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218">
    <w:name w:val="xl2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19">
    <w:name w:val="xl2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00B0F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20">
    <w:name w:val="xl2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21">
    <w:name w:val="xl2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222">
    <w:name w:val="xl2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sz w:val="22"/>
      <w:szCs w:val="22"/>
    </w:rPr>
  </w:style>
  <w:style w:type="paragraph" w:customStyle="1" w:styleId="xl223">
    <w:name w:val="xl2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24">
    <w:name w:val="xl2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25">
    <w:name w:val="xl2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26">
    <w:name w:val="xl2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27">
    <w:name w:val="xl2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28">
    <w:name w:val="xl2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29">
    <w:name w:val="xl2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30">
    <w:name w:val="xl230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231">
    <w:name w:val="xl231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232">
    <w:name w:val="xl2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33">
    <w:name w:val="xl2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35">
    <w:name w:val="xl2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36">
    <w:name w:val="xl2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37">
    <w:name w:val="xl237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38">
    <w:name w:val="xl2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39">
    <w:name w:val="xl2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40">
    <w:name w:val="xl240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41">
    <w:name w:val="xl2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42">
    <w:name w:val="xl2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43">
    <w:name w:val="xl2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44">
    <w:name w:val="xl2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45">
    <w:name w:val="xl2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46">
    <w:name w:val="xl2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2060"/>
      <w:sz w:val="22"/>
      <w:szCs w:val="22"/>
    </w:rPr>
  </w:style>
  <w:style w:type="paragraph" w:customStyle="1" w:styleId="xl247">
    <w:name w:val="xl2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48">
    <w:name w:val="xl2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49">
    <w:name w:val="xl2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50">
    <w:name w:val="xl250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51">
    <w:name w:val="xl2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52">
    <w:name w:val="xl2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54">
    <w:name w:val="xl2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55">
    <w:name w:val="xl255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256">
    <w:name w:val="xl2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8">
    <w:name w:val="xl2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59">
    <w:name w:val="xl2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60">
    <w:name w:val="xl260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61">
    <w:name w:val="xl261"/>
    <w:basedOn w:val="Normal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62">
    <w:name w:val="xl2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63">
    <w:name w:val="xl2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264">
    <w:name w:val="xl2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265">
    <w:name w:val="xl2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FF0000"/>
      <w:sz w:val="22"/>
      <w:szCs w:val="22"/>
    </w:rPr>
  </w:style>
  <w:style w:type="paragraph" w:customStyle="1" w:styleId="xl266">
    <w:name w:val="xl2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267">
    <w:name w:val="xl267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68">
    <w:name w:val="xl2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 w:cs="Calibri"/>
      <w:color w:val="002060"/>
      <w:sz w:val="22"/>
      <w:szCs w:val="22"/>
    </w:rPr>
  </w:style>
  <w:style w:type="paragraph" w:customStyle="1" w:styleId="xl269">
    <w:name w:val="xl269"/>
    <w:basedOn w:val="Normal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270">
    <w:name w:val="xl2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00B0F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  <w:sz w:val="22"/>
      <w:szCs w:val="22"/>
    </w:rPr>
  </w:style>
  <w:style w:type="paragraph" w:customStyle="1" w:styleId="xl271">
    <w:name w:val="xl2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16"/>
      <w:szCs w:val="16"/>
    </w:rPr>
  </w:style>
  <w:style w:type="paragraph" w:customStyle="1" w:styleId="xl272">
    <w:name w:val="xl272"/>
    <w:basedOn w:val="Normal"/>
    <w:pPr>
      <w:pBdr>
        <w:left w:val="single" w:sz="4" w:space="0" w:color="00206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</w:rPr>
  </w:style>
  <w:style w:type="paragraph" w:customStyle="1" w:styleId="xl273">
    <w:name w:val="xl273"/>
    <w:basedOn w:val="Normal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</w:rPr>
  </w:style>
  <w:style w:type="paragraph" w:customStyle="1" w:styleId="xl274">
    <w:name w:val="xl274"/>
    <w:basedOn w:val="Normal"/>
    <w:pPr>
      <w:pBdr>
        <w:lef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xl275">
    <w:name w:val="xl275"/>
    <w:basedOn w:val="Normal"/>
    <w:pPr>
      <w:pBdr>
        <w:left w:val="single" w:sz="4" w:space="0" w:color="00206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</w:rPr>
  </w:style>
  <w:style w:type="paragraph" w:customStyle="1" w:styleId="xl276">
    <w:name w:val="xl276"/>
    <w:basedOn w:val="Normal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2060"/>
    </w:rPr>
  </w:style>
  <w:style w:type="paragraph" w:customStyle="1" w:styleId="xl277">
    <w:name w:val="xl2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2060"/>
      <w:sz w:val="22"/>
      <w:szCs w:val="22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10125</Words>
  <Characters>57714</Characters>
  <Application>Microsoft Office Word</Application>
  <DocSecurity>0</DocSecurity>
  <Lines>480</Lines>
  <Paragraphs>135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dcterms:created xsi:type="dcterms:W3CDTF">2025-07-18T07:28:00Z</dcterms:created>
  <dcterms:modified xsi:type="dcterms:W3CDTF">2025-07-18T07:28:00Z</dcterms:modified>
</cp:coreProperties>
</file>