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A9" w:rsidRDefault="00D941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453303" cy="533400"/>
            <wp:effectExtent l="0" t="0" r="4445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0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2685"/>
      </w:tblGrid>
      <w:tr w:rsidR="00212DA9">
        <w:tc>
          <w:tcPr>
            <w:tcW w:w="6379" w:type="dxa"/>
          </w:tcPr>
          <w:p w:rsidR="00212DA9" w:rsidRDefault="00D941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OSNOVNA ŠKOLA STOBREČ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A9" w:rsidRDefault="00D941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Ivankova 13, 21311 Stobreč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400-02/24-01/4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2181-170-24-1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Stobreč,  27.03.2024.g.</w:t>
            </w:r>
          </w:p>
        </w:tc>
        <w:tc>
          <w:tcPr>
            <w:tcW w:w="2693" w:type="dxa"/>
          </w:tcPr>
          <w:p w:rsidR="00212DA9" w:rsidRDefault="00D941D4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12DA9" w:rsidRDefault="0021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21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21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D9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Temeljem članka 81. novog Zakona o proračunu (NN 144/21), odredbi Pravilnika o polugodišnjem i godišnjem izvještavanju o izvršenju proraču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(NN 24/13, 102/17, 1/20 i 147/20), Zakona o fiskalnoj odgovornosti (NN 111/18, 83/23) i Uredbe o sastavljanju i predaji Izjave o fiskalnoj odgovornosti i izvještaja o primjeni fiskalnih pravila (NN 95/19) te članaka 58. i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hr-HR" w:eastAsia="hr-HR"/>
        </w:rPr>
        <w:t xml:space="preserve"> 70. Statuta Osnovne škole Stobr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hr-HR" w:eastAsia="hr-HR"/>
        </w:rPr>
        <w:t>eč, Stobreč (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en-GB" w:eastAsia="hr-HR"/>
        </w:rPr>
        <w:t>KLASA: 602-02/19-01/36, URBROJ: 2181-170-19-1, od 22.05.2019.g., te KLASA: 602-02/20-01/62, URBROJ: 2181-170-20-4, od 29.05.2020.g.), Školski odbor na sjednici održanoj dana 27.03. 2024. godine donosi:</w:t>
      </w:r>
    </w:p>
    <w:p w:rsidR="00212DA9" w:rsidRDefault="00212DA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212DA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GODIŠNJI  IZVJEŠTAJ  O POSLOVANJU ZA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2023.GODINU</w:t>
      </w:r>
    </w:p>
    <w:p w:rsidR="00212DA9" w:rsidRDefault="00212DA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obračunskom razdoblju ostvareni su sljedeći rezultati:</w:t>
      </w:r>
    </w:p>
    <w:p w:rsidR="00212DA9" w:rsidRDefault="00212DA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UKUPNI  PRIHODI ….…..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995 716</w:t>
      </w:r>
    </w:p>
    <w:p w:rsidR="00212DA9" w:rsidRDefault="00D941D4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Struktura prihoda:</w:t>
      </w:r>
    </w:p>
    <w:p w:rsidR="00212DA9" w:rsidRDefault="00D941D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od Grada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111 326</w:t>
      </w:r>
    </w:p>
    <w:p w:rsidR="00212DA9" w:rsidRDefault="00D941D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od nenadležnog proračuna(MZO)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882 410</w:t>
      </w:r>
    </w:p>
    <w:p w:rsidR="00212DA9" w:rsidRDefault="00D941D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Vlastiti prihodi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0</w:t>
      </w:r>
    </w:p>
    <w:p w:rsidR="00212DA9" w:rsidRDefault="00D941D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od Zadruge (namjenski)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177</w:t>
      </w:r>
    </w:p>
    <w:p w:rsidR="00212DA9" w:rsidRDefault="00D941D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Ostali nespomenuti prihodi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465</w:t>
      </w:r>
    </w:p>
    <w:p w:rsidR="00212DA9" w:rsidRDefault="00D941D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od Županije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170</w:t>
      </w:r>
    </w:p>
    <w:p w:rsidR="00212DA9" w:rsidRDefault="00D941D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od donacija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168</w:t>
      </w:r>
    </w:p>
    <w:p w:rsidR="00212DA9" w:rsidRDefault="00212DA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212DA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UKUPNI RASHODI ……..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998 734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Stru</w:t>
      </w:r>
      <w:r>
        <w:rPr>
          <w:rFonts w:ascii="Times New Roman" w:hAnsi="Times New Roman" w:cs="Times New Roman"/>
          <w:sz w:val="24"/>
          <w:szCs w:val="24"/>
          <w:lang w:val="hr-HR"/>
        </w:rPr>
        <w:t>ktura rashoda: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1.Rashodi od Grada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108 256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  <w:t>2.Rashodi od MZO-a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887 987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3.Vlastiti rashodi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0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4.Rashodi od Zadruge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524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5.Ostali nespomenuti rashodi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1 465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6. Rashodi od Županije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334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7. Rashodi od donacija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168</w:t>
      </w:r>
    </w:p>
    <w:p w:rsidR="00212DA9" w:rsidRDefault="00212DA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MANJAK  PRIHODA  za razdoblje I-XII/2023 (Y004)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>3018</w:t>
      </w:r>
    </w:p>
    <w:p w:rsidR="00212DA9" w:rsidRDefault="00D941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Manjku prihoda 2023. godine smo dodali preneseni manjak iz 2022.godine od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– 11.502 €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nam daje konačni manjak prihoda u iznosu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- 14.520 €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12DA9" w:rsidRDefault="00D941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Struktura manjka prihoda:</w:t>
      </w:r>
    </w:p>
    <w:p w:rsidR="00212DA9" w:rsidRDefault="00212DA9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Manjak od Grada I-XII/2023: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-10.895</w:t>
      </w:r>
    </w:p>
    <w:p w:rsidR="00212DA9" w:rsidRDefault="00D94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Manjak od MZO-a I-XII/2023: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-6.254</w:t>
      </w:r>
    </w:p>
    <w:p w:rsidR="00212DA9" w:rsidRDefault="00D94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Višak prihoda od Zadruge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1.484</w:t>
      </w:r>
    </w:p>
    <w:p w:rsidR="00212DA9" w:rsidRDefault="00D94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Višak prihoda od Županije (CISDŽ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120</w:t>
      </w:r>
    </w:p>
    <w:p w:rsidR="00212DA9" w:rsidRDefault="00D94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Višak prihoda od donacija iz preth.godina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692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212DA9" w:rsidRDefault="00D941D4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Višak prihoda Vlastitih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333</w:t>
      </w:r>
    </w:p>
    <w:p w:rsidR="00212DA9" w:rsidRDefault="00D941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Manjak prihoda za pokriće u sljedećem razdoblju: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>- 14.520€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212DA9" w:rsidRDefault="00212DA9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12DA9" w:rsidRDefault="00212DA9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12DA9" w:rsidRDefault="00D941D4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Izvještaj o obvezama na kraju razdoblja</w:t>
      </w:r>
    </w:p>
    <w:p w:rsidR="00212DA9" w:rsidRDefault="00212DA9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Stanje obveza na kraju izvj</w:t>
      </w:r>
      <w:r>
        <w:rPr>
          <w:rFonts w:ascii="Times New Roman" w:hAnsi="Times New Roman" w:cs="Times New Roman"/>
          <w:sz w:val="24"/>
          <w:szCs w:val="24"/>
          <w:lang w:val="hr-HR"/>
        </w:rPr>
        <w:t>eštajnog razdoblja je 112.203 €, a sastoji se od:</w:t>
      </w:r>
    </w:p>
    <w:p w:rsidR="00212DA9" w:rsidRDefault="00D941D4">
      <w:pPr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Ukupne obveze na dan 31.prosinca 2023.god</w:t>
      </w:r>
      <w:r>
        <w:rPr>
          <w:rFonts w:ascii="Times New Roman" w:hAnsi="Times New Roman" w:cs="Times New Roman"/>
          <w:sz w:val="24"/>
          <w:szCs w:val="24"/>
        </w:rPr>
        <w:t xml:space="preserve">.iznose </w:t>
      </w:r>
      <w:r>
        <w:rPr>
          <w:rFonts w:ascii="Times New Roman" w:hAnsi="Times New Roman" w:cs="Times New Roman"/>
          <w:b/>
          <w:sz w:val="24"/>
          <w:szCs w:val="24"/>
        </w:rPr>
        <w:t>112.203,28 €</w:t>
      </w:r>
      <w:r>
        <w:rPr>
          <w:rFonts w:ascii="Times New Roman" w:hAnsi="Times New Roman" w:cs="Times New Roman"/>
          <w:sz w:val="24"/>
          <w:szCs w:val="24"/>
        </w:rPr>
        <w:t xml:space="preserve">   ( Grad  10.839,87 i Mzo  101.363,41) prema dobavljačima</w:t>
      </w:r>
    </w:p>
    <w:p w:rsidR="00212DA9" w:rsidRDefault="00212D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DA9" w:rsidRDefault="00D941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Sveukupne obveze Grada Splita prema dobavljačima za materijalne rashode,te za plaću </w:t>
      </w:r>
      <w:r>
        <w:rPr>
          <w:rFonts w:ascii="Times New Roman" w:hAnsi="Times New Roman" w:cs="Times New Roman"/>
          <w:sz w:val="24"/>
          <w:szCs w:val="24"/>
        </w:rPr>
        <w:t>za pomoćnike EU za 12/2023  i  prema OŠ Stobreč (računi koje je OŠ platila, a Grad će joj refundirati, iznose  (Temeljnica br.1/2024 obveze prema dobavljačima):</w:t>
      </w:r>
    </w:p>
    <w:p w:rsidR="00212DA9" w:rsidRDefault="00D941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Grada prema dobavljačima </w:t>
      </w:r>
      <w:r>
        <w:rPr>
          <w:rFonts w:ascii="Times New Roman" w:hAnsi="Times New Roman" w:cs="Times New Roman"/>
          <w:sz w:val="24"/>
          <w:szCs w:val="24"/>
        </w:rPr>
        <w:tab/>
        <w:t>(materijalni rashodi , rashodi za usluge, prehrana 12-2023 – 5</w:t>
      </w:r>
      <w:r>
        <w:rPr>
          <w:rFonts w:ascii="Times New Roman" w:hAnsi="Times New Roman" w:cs="Times New Roman"/>
          <w:sz w:val="24"/>
          <w:szCs w:val="24"/>
        </w:rPr>
        <w:t xml:space="preserve">73,06 €)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7.732,53  </w:t>
      </w:r>
    </w:p>
    <w:p w:rsidR="00212DA9" w:rsidRDefault="00D941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Grada prema OŠ (pomoćnici pl.12/23)</w:t>
      </w:r>
      <w:r>
        <w:rPr>
          <w:rFonts w:ascii="Times New Roman" w:hAnsi="Times New Roman" w:cs="Times New Roman"/>
          <w:sz w:val="24"/>
          <w:szCs w:val="24"/>
        </w:rPr>
        <w:tab/>
        <w:t>3.055,52 €</w:t>
      </w:r>
    </w:p>
    <w:p w:rsidR="00212DA9" w:rsidRDefault="00D941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Grada prema OŠ (Zagrebačka banka naknada) 51,82 €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2DA9" w:rsidRDefault="00D941D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10.839,87 €</w:t>
      </w:r>
    </w:p>
    <w:p w:rsidR="00212DA9" w:rsidRDefault="00212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DA9" w:rsidRDefault="00D9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MZOŠ prema OŠ Stobreč iznose </w:t>
      </w:r>
      <w:r>
        <w:rPr>
          <w:rFonts w:ascii="Times New Roman" w:hAnsi="Times New Roman" w:cs="Times New Roman"/>
          <w:b/>
          <w:sz w:val="24"/>
          <w:szCs w:val="24"/>
        </w:rPr>
        <w:t>70.429,05 €</w:t>
      </w:r>
      <w:r>
        <w:rPr>
          <w:rFonts w:ascii="Times New Roman" w:hAnsi="Times New Roman" w:cs="Times New Roman"/>
          <w:sz w:val="24"/>
          <w:szCs w:val="24"/>
        </w:rPr>
        <w:t xml:space="preserve"> (plaća, naknade i invalidi za 12/2023)</w:t>
      </w:r>
    </w:p>
    <w:p w:rsidR="00212DA9" w:rsidRDefault="00D9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</w:t>
      </w:r>
      <w:r>
        <w:rPr>
          <w:rFonts w:ascii="Times New Roman" w:hAnsi="Times New Roman" w:cs="Times New Roman"/>
          <w:sz w:val="24"/>
          <w:szCs w:val="24"/>
        </w:rPr>
        <w:t xml:space="preserve"> HZZO prema OŠ Stobreč iznosi </w:t>
      </w:r>
      <w:r>
        <w:rPr>
          <w:rFonts w:ascii="Times New Roman" w:hAnsi="Times New Roman" w:cs="Times New Roman"/>
          <w:b/>
          <w:sz w:val="24"/>
          <w:szCs w:val="24"/>
        </w:rPr>
        <w:t>15.572,86 €</w:t>
      </w:r>
      <w:r>
        <w:rPr>
          <w:rFonts w:ascii="Times New Roman" w:hAnsi="Times New Roman" w:cs="Times New Roman"/>
          <w:sz w:val="24"/>
          <w:szCs w:val="24"/>
        </w:rPr>
        <w:t xml:space="preserve"> (za  bolovanje preko 42 dana)</w:t>
      </w:r>
    </w:p>
    <w:p w:rsidR="00212DA9" w:rsidRDefault="00D941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MZO za prehranu OŠ Stobreč iznosi </w:t>
      </w:r>
      <w:r>
        <w:rPr>
          <w:rFonts w:ascii="Times New Roman" w:hAnsi="Times New Roman" w:cs="Times New Roman"/>
          <w:b/>
          <w:sz w:val="24"/>
          <w:szCs w:val="24"/>
        </w:rPr>
        <w:t>15.361,50 €</w:t>
      </w:r>
    </w:p>
    <w:p w:rsidR="00212DA9" w:rsidRDefault="00D9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101.363,41 €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Obveze na kraju izvještajnog razdoblja su nedospjele i biti će podmirene tijekom siječnja 2024. godine.</w:t>
      </w:r>
    </w:p>
    <w:p w:rsidR="00212DA9" w:rsidRDefault="00212DA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Rezult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at poslovanja prema izvorima financiranja od 1.1.2023.-31.12.2023.</w:t>
      </w:r>
    </w:p>
    <w:p w:rsidR="00212DA9" w:rsidRDefault="00212DA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731510" cy="3251004"/>
            <wp:effectExtent l="0" t="0" r="2540" b="6985"/>
            <wp:docPr id="3" name="Slika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A9" w:rsidRDefault="00D941D4">
      <w:p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Dogodilo nam se povećanje u vrijednosti i obujmu imovine za 12.285, 26 €. A razlog tome je što je MZO dopustilo da proknjižimo u svoja osnovna sredstva tablete, projektore i laptope dobi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vene na korištenje 2019. i 2020. godine.</w:t>
      </w:r>
    </w:p>
    <w:p w:rsidR="00212DA9" w:rsidRDefault="00212DA9">
      <w:pPr>
        <w:jc w:val="both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212DA9" w:rsidRDefault="00D9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Potencijalne obveze po sudskim sporovima</w:t>
      </w:r>
      <w:r>
        <w:rPr>
          <w:rFonts w:ascii="Times New Roman" w:hAnsi="Times New Roman" w:cs="Times New Roman"/>
          <w:sz w:val="24"/>
          <w:szCs w:val="24"/>
        </w:rPr>
        <w:t xml:space="preserve"> koji bi se trebali riješiti u 2024. godini  iznose 2.064,00 €,  a to su:</w:t>
      </w:r>
    </w:p>
    <w:p w:rsidR="00212DA9" w:rsidRDefault="00D941D4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Tužba 6403/2021 -502,00 €</w:t>
      </w:r>
    </w:p>
    <w:p w:rsidR="00212DA9" w:rsidRDefault="00D941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Tužba 6667/2021– 492,00 €</w:t>
      </w:r>
    </w:p>
    <w:p w:rsidR="00212DA9" w:rsidRDefault="00D941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Tužba 6402/2021 – 1070,00 €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lipnju 2023.godin</w:t>
      </w:r>
      <w:r>
        <w:rPr>
          <w:rFonts w:ascii="Times New Roman" w:hAnsi="Times New Roman" w:cs="Times New Roman"/>
          <w:sz w:val="24"/>
          <w:szCs w:val="24"/>
          <w:lang w:val="hr-HR"/>
        </w:rPr>
        <w:t>e MZO je odobrilo 758,20 € za nabavku besplatnih zaliha menstrualnih higijenskih potrepština za učenice naše škole.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prosincu 2023. godine MZO je doznačilo 72,86 € za sufinanciranje nastavnog materijala za učitelje koji rade u pripremnoj nastavi iz hrvats</w:t>
      </w:r>
      <w:r>
        <w:rPr>
          <w:rFonts w:ascii="Times New Roman" w:hAnsi="Times New Roman" w:cs="Times New Roman"/>
          <w:sz w:val="24"/>
          <w:szCs w:val="24"/>
          <w:lang w:val="hr-HR"/>
        </w:rPr>
        <w:t>koga jezika za učenike raseljene iz Ukrajine u školskoj godini 2023/2024.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Ravnateljica je donijela odluku da se za 2023.godinu iz imovine isknjiže:</w:t>
      </w:r>
    </w:p>
    <w:p w:rsidR="00212DA9" w:rsidRDefault="00D941D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Foxconn tableti 10.1“ – 5 komada – u vrijednosti od 1.118,70 € (otuđeni)</w:t>
      </w:r>
    </w:p>
    <w:p w:rsidR="00212DA9" w:rsidRDefault="00D941D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Neupotrebljivi udžbenici koji se više ne mogu koristiti u 2023/2024 u iznosu od 6.780,32 €</w:t>
      </w:r>
    </w:p>
    <w:p w:rsidR="00212DA9" w:rsidRDefault="00D941D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Lektirna građa u vrijednosti 1.868,08 €- 188 komada, a prema izvješću knjižničarke Marine Vrvilo.</w:t>
      </w:r>
    </w:p>
    <w:p w:rsidR="00212DA9" w:rsidRDefault="00D941D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Prijedlog korištenja neutrošenih sredstava</w:t>
      </w:r>
    </w:p>
    <w:p w:rsidR="00212DA9" w:rsidRDefault="00D941D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Predlaže se da se višak </w:t>
      </w:r>
      <w:r>
        <w:rPr>
          <w:rFonts w:ascii="Times New Roman" w:hAnsi="Times New Roman" w:cs="Times New Roman"/>
          <w:sz w:val="24"/>
          <w:szCs w:val="24"/>
          <w:lang w:val="hr-HR"/>
        </w:rPr>
        <w:t>sredstava iz vlastitih i donacija utroši namjenski za tekuće potrebe, tj. za plaćanje dobavljača koji ne žele izdati račun, a da im se on prije toga ne plati, plaćanje kamata itd. Višak od Zadruge će se potrošiti za sve troškove koji se tiču projekta Dalma</w:t>
      </w:r>
      <w:r>
        <w:rPr>
          <w:rFonts w:ascii="Times New Roman" w:hAnsi="Times New Roman" w:cs="Times New Roman"/>
          <w:sz w:val="24"/>
          <w:szCs w:val="24"/>
          <w:lang w:val="hr-HR"/>
        </w:rPr>
        <w:t>tinski suvenir.</w:t>
      </w:r>
    </w:p>
    <w:p w:rsidR="00212DA9" w:rsidRDefault="00D9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iz 2023.godine se raspoređuje na sljedeći način:</w:t>
      </w:r>
    </w:p>
    <w:p w:rsidR="00212DA9" w:rsidRDefault="00212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A9" w:rsidRDefault="00D941D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332,88 € višak od vlastitih prihoda i   691,75 €  višak od donacija ne predstavljaju neki značajan višak s kojim se može nešto konkretno kupiti, nego služe za plaćanje </w:t>
      </w:r>
      <w:r>
        <w:rPr>
          <w:rFonts w:ascii="Times New Roman" w:hAnsi="Times New Roman" w:cs="Times New Roman"/>
          <w:sz w:val="24"/>
          <w:szCs w:val="24"/>
        </w:rPr>
        <w:t>dobavljača koji ne žele izdati račun prije nego li se on plati, ali u svakom slučaju će se namjenski utrošiti bude li potrebe za tim</w:t>
      </w:r>
    </w:p>
    <w:p w:rsidR="00212DA9" w:rsidRDefault="00212DA9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A9" w:rsidRDefault="00D941D4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1.484,33 € višak od Zadruge i 120,00 € višak od Županije za Dalmatinski suvenir će se koristiti za nabavku koja se tiče pr</w:t>
      </w:r>
      <w:r>
        <w:rPr>
          <w:rFonts w:ascii="Times New Roman" w:hAnsi="Times New Roman" w:cs="Times New Roman"/>
          <w:sz w:val="24"/>
          <w:szCs w:val="24"/>
        </w:rPr>
        <w:t>ojekta DALMATINSKI SUVENIR.</w:t>
      </w:r>
    </w:p>
    <w:p w:rsidR="00212DA9" w:rsidRDefault="00212DA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12DA9" w:rsidRDefault="00212DA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12DA9" w:rsidRDefault="00212DA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12DA9" w:rsidRDefault="00D9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  <w:t>Izvještaj o postignutim ciljevima i rezultatima programa temeljenim na pokazateljima uspješnosti iz nadležnosti proračunskog korisnika u prethodnoj godini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D9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Realiziran je nastavni plan i program rada škole po razrednim odjelim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(16 odjela) zaduženjima učitelja u redovnoj i izbornoj nastavi, izvannastavnim aktivnostima i posebnim poslovima.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hr-HR" w:eastAsia="hr-HR"/>
        </w:rPr>
      </w:pP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Školsku godinu 2022./2023. uspješno je završio 321 učenik. Na kraju nastavne godine četvoro učenika predmetne nastave je ostalo neocijenjen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te su upućeni na razredni ispit. Od njih četvoro, jednoj učenici je zbog teških zdravstvenih okolnosti produljeno školovanje za godinu dana, a ostali su uspješno završili razred. Također, šest učenika bilo je upućeno na dopunski rad zbog ocjene nedovolja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 te su nakon njega uspješno završili razred. Školsku godinu 2023./2024. upisalo je 312 učenika.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</w:pPr>
    </w:p>
    <w:p w:rsidR="00212DA9" w:rsidRDefault="00D9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Ukupno 10 učenika s teškoćama u razvoju pohađalo je redovnu nastavu uz individualizirani pristup, te troje uz prilagodbu sadržaja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te uspješno završilo razred u lipnju 2023.g. (uz dva pomoćnika u nastavi). Od rujna 2023. g. osigurana su četiri pomoćnika u nastavi za četvoro učenika. Tijekom 2023. g., u Školi je provedeno ukupno pet postupaka za utvrđivanje primjerenog oblika školovan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 za isto toliko učenika s teškoćama, a započeta su još četiri, krajem 2023. g.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Školu je tijekom 2022./2023. pohađalo ili još pohađa 21 inojezični učenik (13 stranih državljana, 8 povratnika). Odrađeno je 12 provjera znanja hrvatskog jezika te organizira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pripremna i dopunska nastava hrvatskog jezika za učenike koji ne znaju ili nedostatno znaju hrvatski jezik. Od rujna 2023. se ponovno organizirala pripremna i dopunska nastava za inojezične učenike.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</w:pP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Učiteljice razredne nastave tijekom nastavne godine r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edovito održavaju sate dopunske nastave za hrvatski jezik i matematiku, a u predmetnoj nastavi održava se dopunska nastava za matematiku, hrvatski jezik, engleski jezik, fiziku i kemiju. Ovaj oblik dopunske nastave namijenjen je učenicima koji imaju teškoć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a (kontinuirano ili povremeno) u savladavanju sadržaja redovitog programa.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Izborna nastava organizirana je iz: Vjeronauka (od 1. do 8. r.), Informatike (od 1. do 4. r. te od 7. do 8. r.) i Njemačkog jezika (od 4. do 8. r.).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D941D4">
      <w:pPr>
        <w:kinsoku w:val="0"/>
        <w:overflowPunct w:val="0"/>
        <w:spacing w:before="106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potencijalno darovite učenike organizirana je dodatna nastava iz sljedećih predmeta: u razrednoj nastavi iz Matematike, te iz Prirode i društva; u predmetnoj nastavi iz matematike, hrvatskog jezika, engleskog jezika, geografije i povijesti te iz kemije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biologije te tehničke kulture i fizike. </w:t>
      </w:r>
    </w:p>
    <w:p w:rsidR="00212DA9" w:rsidRDefault="00D941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Rad i postignuća u dodatnom radu i radu s darovitim učenicima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 rezultati u sudjelovanju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natjecanjima u znanju i sportu. Na razini škole održala su se natjecanja u znanju iz engleskog  jezika, hrvatskog jezika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geografije, povijesti, informatike, matematike, kemije, mladih  tehničara, debate.</w:t>
      </w: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Također, organizirano je međunarodno natjecanje Klokan bez granica u ožujku 2023.g.</w:t>
      </w: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županijskim natjecanjima sudjelovalo je 14 učenika i to iz hrvatskog jezika, englesk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og  jezika, povijesti, informatike, Mladih tehničara te u Debati.</w:t>
      </w:r>
    </w:p>
    <w:p w:rsidR="00212DA9" w:rsidRDefault="00212DA9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D941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2FCFC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Učenici su sudjelovali i u sportskim natjecanjima: za nogomet  (M), sportski ples, odbojka (Ž) i kross (M i Ž). Naše učenice koje su se natjecale u kategoriji "sportski ples - OŠ URBANICHEE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R- mješovito" u OŠ Žnjan-Pazdigrad, osvojile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2FCFC"/>
          <w:lang w:val="hr-HR" w:eastAsia="hr-HR"/>
        </w:rPr>
        <w:t xml:space="preserve"> su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3. mjesto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2FCFC"/>
          <w:lang w:val="hr-HR" w:eastAsia="hr-HR"/>
        </w:rPr>
        <w:t>. </w:t>
      </w:r>
    </w:p>
    <w:p w:rsidR="00212DA9" w:rsidRDefault="00212D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shd w:val="clear" w:color="auto" w:fill="F2FCFC"/>
          <w:lang w:val="hr-HR" w:eastAsia="hr-HR"/>
        </w:rPr>
      </w:pP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Četiri učenika 5. i 6. razreda  naše škole sudjelovali su na školskoj razini sudoku natjecanja.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D941D4">
      <w:pPr>
        <w:spacing w:after="0" w:line="240" w:lineRule="auto"/>
        <w:ind w:firstLine="708"/>
        <w:jc w:val="both"/>
        <w:rPr>
          <w:rStyle w:val="Naglaeno"/>
          <w:rFonts w:ascii="Times New Roman" w:hAnsi="Times New Roman" w:cs="Times New Roman"/>
          <w:b w:val="0"/>
          <w:color w:val="006400"/>
          <w:sz w:val="24"/>
          <w:szCs w:val="24"/>
          <w:shd w:val="clear" w:color="auto" w:fill="F2FCFC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Nogometna učenička ekipa OŠ Stobreč osvojila je 1. mjesto na 18. Memorijalu „Andrija Bartulić –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Toni“, u organizaciji Udruge HVIDR-e Split, u lipnju 2023. g, u Splitu.</w:t>
      </w:r>
    </w:p>
    <w:p w:rsidR="00212DA9" w:rsidRDefault="00212DA9">
      <w:pPr>
        <w:spacing w:after="0" w:line="240" w:lineRule="auto"/>
        <w:ind w:firstLine="708"/>
        <w:jc w:val="both"/>
        <w:rPr>
          <w:rStyle w:val="Naglaeno"/>
          <w:rFonts w:ascii="Times New Roman" w:hAnsi="Times New Roman" w:cs="Times New Roman"/>
          <w:color w:val="006400"/>
          <w:sz w:val="24"/>
          <w:szCs w:val="24"/>
          <w:shd w:val="clear" w:color="auto" w:fill="F2FCFC"/>
        </w:rPr>
      </w:pP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kraju nastavne godine 2022./2023. Učiteljsko vijeće je knjigom nagradilo 15 učenika 8. razreda za postignut odličan uspjeh tijekom svih osam godina školovanja.</w:t>
      </w:r>
    </w:p>
    <w:p w:rsidR="00212DA9" w:rsidRDefault="00D941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BerlingTOT-Reg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BerlingTOT-Reg" w:hAnsi="Times New Roman" w:cs="Times New Roman"/>
          <w:bCs/>
          <w:sz w:val="24"/>
          <w:szCs w:val="24"/>
          <w:lang w:val="hr-HR" w:eastAsia="hr-HR"/>
        </w:rPr>
        <w:t>Također smo sudjelovali u projektu CI SDŽ Identifikacija darovitih učenika u matematici koji je namijenjen učenicima 4. razreda te smo se prijavili za sudjelovanje u 2024. g.</w:t>
      </w:r>
    </w:p>
    <w:p w:rsidR="00212DA9" w:rsidRDefault="00D941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Za Učiteljsko vijeće OŠ Stobreč organizirane su radionice: „Postajem e-učitelj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OŠ Stobreč”, „Paleta jednostavnih digitalnih alata u nastavi” te „Kako izraditi e-portfolio?“.</w:t>
      </w:r>
    </w:p>
    <w:p w:rsidR="00212DA9" w:rsidRDefault="00D941D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Učiteljsko vijeće je upoznato s edukativnim </w:t>
      </w:r>
      <w:r>
        <w:rPr>
          <w:rFonts w:ascii="Times New Roman" w:hAnsi="Times New Roman" w:cs="Times New Roman"/>
          <w:sz w:val="24"/>
          <w:szCs w:val="24"/>
          <w:lang w:val="hr-HR"/>
        </w:rPr>
        <w:t>materijalima</w:t>
      </w:r>
      <w:r>
        <w:rPr>
          <w:rFonts w:ascii="Times New Roman" w:hAnsi="Times New Roman" w:cs="Times New Roman"/>
          <w:sz w:val="24"/>
          <w:szCs w:val="24"/>
        </w:rPr>
        <w:t xml:space="preserve"> Hrvatskog zavoda za javno zdravstvo (za učitelje, učenik i roditelje), uz preporuku Ministarstva znanost</w:t>
      </w:r>
      <w:r>
        <w:rPr>
          <w:rFonts w:ascii="Times New Roman" w:hAnsi="Times New Roman" w:cs="Times New Roman"/>
          <w:sz w:val="24"/>
          <w:szCs w:val="24"/>
        </w:rPr>
        <w:t>i i obrazovanja, i to za dvije aktualne teme na području prevencije:</w:t>
      </w:r>
    </w:p>
    <w:p w:rsidR="00212DA9" w:rsidRDefault="00D941D4">
      <w:pPr>
        <w:pStyle w:val="Bezprored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Štetnost energetskih pića - nužnost dodatne pozornosti i edukacije</w:t>
      </w:r>
    </w:p>
    <w:p w:rsidR="00212DA9" w:rsidRDefault="00D941D4">
      <w:pPr>
        <w:pStyle w:val="Bezproreda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Štetni učinci duhanskih proizvoda i nikotinskih vrećica - nužnost dodatne pozornosti i edukacije.</w:t>
      </w:r>
    </w:p>
    <w:p w:rsidR="00212DA9" w:rsidRDefault="00D941D4">
      <w:pPr>
        <w:spacing w:before="100" w:beforeAutospacing="1" w:after="100" w:afterAutospacing="1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>Djelatnici II. policijske postaje SDŽ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hr-HR"/>
        </w:rPr>
        <w:t xml:space="preserve"> održali su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radionice za učenike 4., 5. i 8. razreda u nacionalnom preventivnom programu „Zajedno možemo više”, a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hr-HR"/>
        </w:rPr>
        <w:t>Crveni križ Split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radionice za prevenciju alkoholizma u 7. razredima.</w:t>
      </w:r>
    </w:p>
    <w:p w:rsidR="00212DA9" w:rsidRDefault="00D941D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znanosti i obrazovanja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osiguralo je sredstva školama za nabavku </w:t>
      </w:r>
      <w:r>
        <w:rPr>
          <w:rStyle w:val="markh1nyqjd9r"/>
          <w:rFonts w:ascii="Times New Roman" w:eastAsia="BerlingTOT-Reg" w:hAnsi="Times New Roman" w:cs="Times New Roman"/>
          <w:sz w:val="24"/>
          <w:szCs w:val="24"/>
          <w:shd w:val="clear" w:color="auto" w:fill="FFFFFF"/>
        </w:rPr>
        <w:t>psihodijag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nostičkih sredstava Naklade Slap u svrhu psihološke procjene teškoća učenika u području mentalnog zdravlja koja je provedena tijekom prosinca 2023.</w:t>
      </w:r>
    </w:p>
    <w:p w:rsidR="00212DA9" w:rsidRDefault="00D941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6400"/>
          <w:sz w:val="24"/>
          <w:szCs w:val="24"/>
          <w:shd w:val="clear" w:color="auto" w:fill="F2FCFC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 našoj školi održani su dvanaesti opći i neposredni uče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nički izbori za predsjednika/icu Vijeća učenika.</w:t>
      </w:r>
    </w:p>
    <w:p w:rsidR="00212DA9" w:rsidRDefault="00D941D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Kao sastavni dio Školskog preventivnog programa provodi se višegodišnji projekt zaštite mentalnog zdravlja djece i mladih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Pretežno vedro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čiji je nositelj županijski Nastavni zavod za javno zdravstvo (Služba za mentalno zdravlje). U okviru projekta, Školski tim sudjelovao na 7. županijskom međuškolskom natjecanju u edukativnoj društvenoj igri Pretežno vedro koja je u ovom projektu osmišljen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u našoj školi.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Realizacija projekta Pretežno vedro se nastavlja i u sljedećoj školskoj godini. </w:t>
      </w:r>
    </w:p>
    <w:p w:rsidR="00212DA9" w:rsidRDefault="00D941D4">
      <w:p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Školi je djelovalo više učeničkih skupina za izvannastavne aktivnosti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Čitalica (1. r.), Likovna skupina (2. i 3. r.), Domaćinstvo (4. r.), Pjevački zbor (o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d 4. do 8. r.), Grupa za kineziterapijsko vježbanje (5. – 8.), Prometna sekcija (od 5. do 8. r.), Vjeronaučna skupina, Debatni klub (od 5. do 8. r.), Mladi knjižničari (4.r.), Literarna grupa (od 5. do 8. r.), Robotika, Putujmo Francuskom.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Također, djeluje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Klub mladih tehničara i Školski športski klub u OŠ Stobreč.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Također, u okviru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Učeničke zadruge LOVORIKA koja u Školi postoji od 2012. g. djeluju dvije Likovne sekcije (ranije Eko sekcije), Maslinari, Likovnjaci, Video/filmska sekcija VideoKaval.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školsko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 masliniku je održana berba maslina i proizvedeno maslinovo ulje koje je plasirano po peti put na natječaju za učeničke zadruge CI Poduzetništvo SDŽ „Dalmatinski suvenir”.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2FCFC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Učenici 1. razreda su uključeni 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Program Školskog mednog dana s hrvatskih pčelinja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ka u prosincu 2023.g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2FCFC"/>
          <w:lang w:val="hr-HR" w:eastAsia="hr-HR"/>
        </w:rPr>
        <w:t>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2FCFC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Učenici 3., 4. i 5. razredi sudjelovali su u jednodnevnoj edukaciji na Prometnom poligonu u Splitu.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Djelatnici Čistoće d.o.o. učenicima od 1. do 4. razreda u atriju naše održali su edukaciju o važnosti odvajanja otpada i načinu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odvajanja otpada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2FCFC"/>
        </w:rPr>
        <w:t>. </w:t>
      </w:r>
    </w:p>
    <w:p w:rsidR="00212DA9" w:rsidRDefault="00D941D4">
      <w:pPr>
        <w:pStyle w:val="tb-na16"/>
        <w:ind w:firstLine="360"/>
        <w:jc w:val="both"/>
      </w:pPr>
      <w:r>
        <w:t xml:space="preserve">U Školi su organizirane 3 </w:t>
      </w:r>
      <w:r>
        <w:rPr>
          <w:u w:val="single"/>
        </w:rPr>
        <w:t>akcije</w:t>
      </w:r>
      <w:r>
        <w:t xml:space="preserve"> radi razvoja empatije i solidarnosti s osobama u potrebi (socijalna isključenost, siromaštvo, posebne potrebe):</w:t>
      </w:r>
    </w:p>
    <w:p w:rsidR="00212DA9" w:rsidRDefault="00D941D4">
      <w:pPr>
        <w:pStyle w:val="tb-na16"/>
        <w:numPr>
          <w:ilvl w:val="0"/>
          <w:numId w:val="12"/>
        </w:numPr>
        <w:jc w:val="both"/>
      </w:pPr>
      <w:r>
        <w:t>Povodom Dana kruha u listopadu prikupljanje namirnica za doručak za splitsko Prihvatilište z</w:t>
      </w:r>
      <w:r>
        <w:t>a beskućnike</w:t>
      </w:r>
    </w:p>
    <w:p w:rsidR="00212DA9" w:rsidRDefault="00D941D4">
      <w:pPr>
        <w:pStyle w:val="tb-na16"/>
        <w:numPr>
          <w:ilvl w:val="0"/>
          <w:numId w:val="12"/>
        </w:numPr>
        <w:jc w:val="both"/>
      </w:pPr>
      <w:r>
        <w:rPr>
          <w:color w:val="242424"/>
          <w:shd w:val="clear" w:color="auto" w:fill="FFFFFF"/>
        </w:rPr>
        <w:t>Tradicionalni božićni program Hrvatskoga Caritasa „Za 1000 radosti – Na strani dobra“ (silikonske narukvice „Na strani dobra“)</w:t>
      </w:r>
    </w:p>
    <w:p w:rsidR="00212DA9" w:rsidRDefault="00D941D4">
      <w:pPr>
        <w:pStyle w:val="tb-na16"/>
        <w:numPr>
          <w:ilvl w:val="0"/>
          <w:numId w:val="12"/>
        </w:numPr>
        <w:jc w:val="both"/>
      </w:pPr>
      <w:r>
        <w:t>Školska</w:t>
      </w:r>
      <w:r>
        <w:rPr>
          <w:b/>
        </w:rPr>
        <w:t xml:space="preserve"> </w:t>
      </w:r>
      <w:r>
        <w:rPr>
          <w:rStyle w:val="Naglaeno"/>
          <w:rFonts w:eastAsia="BerlingTOT-Reg"/>
        </w:rPr>
        <w:t>božićna akcija i Božićni sajam UZ Lovorika na inicijativu Vijeća roditelja u organizaciji roditelja i Škole,</w:t>
      </w:r>
      <w:r>
        <w:rPr>
          <w:rStyle w:val="Naglaeno"/>
          <w:rFonts w:eastAsia="BerlingTOT-Reg"/>
        </w:rPr>
        <w:t xml:space="preserve"> za COO „Slava Raškaj“ u Splitu, </w:t>
      </w:r>
      <w:r>
        <w:t>pred Božić.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Škola redovito održava svoju mrežnu stranicu na kojoj su javnosti dostupni dokumenti relevantni za rad Škole, a na njoj se može pratiti svakodnevni rad Škole, uspjesi naših učenika u i izvanškolskim aktivnostima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Također, može se naći niz edukativnih sadržaja (preventivnih) za roditelje, učenike i učitelje.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Tiskana brošura za roditelje „Kako zaštititi dijete u svijetu interneta, mrežnih tehnologija i mobilnih telefona“ podijeljena je roditeljima učenika 5. razred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a.</w:t>
      </w:r>
    </w:p>
    <w:p w:rsidR="00212DA9" w:rsidRDefault="00D9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Škola, uz podršku Grada Splita, kao jedna od osam gradskih osnovnih škola, ostvaruje međunarodni program Eko-škole za koji je stekla Zelenu zastavu, te je u svibnju 2022. uspješno po treći put obnovila svoj status Eko-škole.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Time pripadamo 16. generaciji hrvatskih škola koje su stekle brončani status.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Program se odvijao i tijekom 2022./2023. te se nastavlja u 2023./2024. te je planirano četvrto obnavljanje statusa (svibanj 2024.).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Škola je šk. god. 2018./2019. uvela u primjenu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val="hr-HR" w:eastAsia="hr-HR"/>
        </w:rPr>
        <w:t xml:space="preserve"> e-Dnevnik - web aplikaciju za vođenje razredne knjige u elektroničkom obliku.</w:t>
      </w:r>
    </w:p>
    <w:p w:rsidR="00212DA9" w:rsidRDefault="00D941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val="hr-HR"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val="hr-HR" w:eastAsia="hr-HR"/>
        </w:rPr>
        <w:t>OŠ Stobreč je uključena u projekt „e-Škole“ – Razvoj sustava digitalno zrelih škola.</w:t>
      </w:r>
    </w:p>
    <w:p w:rsidR="00212DA9" w:rsidRDefault="00D94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Održana je vježba evakuacije u slučaju požara u suradnji s Javnom vatrogasnom postrojbom Split.</w:t>
      </w: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21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12DA9" w:rsidRDefault="0021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2DA9" w:rsidRDefault="00212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212DA9" w:rsidRDefault="00D9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Voditelj računovodstva: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Ravnateljica:</w:t>
      </w:r>
    </w:p>
    <w:p w:rsidR="00212DA9" w:rsidRDefault="00212DA9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12DA9" w:rsidRDefault="00212DA9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12DA9" w:rsidRDefault="00D941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Ines Rajčić, dipl.oec.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  <w:t>Marina Baćak, prof.</w:t>
      </w:r>
    </w:p>
    <w:p w:rsidR="00212DA9" w:rsidRDefault="00212D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212DA9" w:rsidRDefault="00212DA9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sectPr w:rsidR="00212D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38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BerlingTOT-Reg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B5C"/>
    <w:multiLevelType w:val="multilevel"/>
    <w:tmpl w:val="C83419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64A71"/>
    <w:multiLevelType w:val="multilevel"/>
    <w:tmpl w:val="4E3CB28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71C"/>
    <w:multiLevelType w:val="multilevel"/>
    <w:tmpl w:val="F3C44BA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2C96"/>
    <w:multiLevelType w:val="multilevel"/>
    <w:tmpl w:val="DE58519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6A36"/>
    <w:multiLevelType w:val="multilevel"/>
    <w:tmpl w:val="7B004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17E58"/>
    <w:multiLevelType w:val="multilevel"/>
    <w:tmpl w:val="EDA0C7FA"/>
    <w:lvl w:ilvl="0">
      <w:start w:val="6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608D"/>
    <w:multiLevelType w:val="multilevel"/>
    <w:tmpl w:val="4864B1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679"/>
    <w:multiLevelType w:val="multilevel"/>
    <w:tmpl w:val="150850E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64357"/>
    <w:multiLevelType w:val="multilevel"/>
    <w:tmpl w:val="22FEB4EC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94AD6"/>
    <w:multiLevelType w:val="multilevel"/>
    <w:tmpl w:val="5F76B7A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3023"/>
    <w:multiLevelType w:val="multilevel"/>
    <w:tmpl w:val="E83263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30A9F"/>
    <w:multiLevelType w:val="multilevel"/>
    <w:tmpl w:val="6150C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71A0D"/>
    <w:multiLevelType w:val="multilevel"/>
    <w:tmpl w:val="B9C2D70E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A9"/>
    <w:rsid w:val="00212DA9"/>
    <w:rsid w:val="00D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902A-3471-436F-B5EA-AACF9C1B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tb-na16">
    <w:name w:val="tb-na16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markh1nyqjd9r">
    <w:name w:val="markh1nyqjd9r"/>
    <w:basedOn w:val="Zadanifontodlomka"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514C-52A2-4443-9BC8-38A169BD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2024-02-14T09:10:00Z</cp:lastPrinted>
  <dcterms:created xsi:type="dcterms:W3CDTF">2024-03-27T10:25:00Z</dcterms:created>
  <dcterms:modified xsi:type="dcterms:W3CDTF">2024-03-27T10:25:00Z</dcterms:modified>
</cp:coreProperties>
</file>