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BILJEŠKE </w:t>
      </w: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UZ </w:t>
      </w: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FINANCIJSKE</w:t>
      </w: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hr-HR"/>
        </w:rPr>
        <w:t xml:space="preserve"> IZVJEŠTAJE</w:t>
      </w:r>
    </w:p>
    <w:p>
      <w:pPr>
        <w:spacing/>
        <w:jc w:val="both"/>
        <w:rPr>
          <w:rFonts w:ascii="Times New Roman" w:hAnsi="Times New Roman" w:cs="Times New Roman"/>
          <w:b/>
          <w:sz w:val="36"/>
          <w:szCs w:val="36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OSNOVNA ŠKOLA STOBREČ</w:t>
      </w: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IVANKOVA 13, 21311 STOBREČ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RAZDOBLJE:</w:t>
      </w: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O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IB: 87172411947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01.01.2023. – 31.12.2023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.</w:t>
      </w: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RKP: 16213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RAZINA: 31</w:t>
      </w: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MATIČNI BROJ: 01374800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ŠIFRA DJELATNOSTI: 8520</w:t>
      </w: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>
      <w:pPr>
        <w:pStyle w:val="Odlomakpopisa"/>
        <w:numPr>
          <w:ilvl w:val="0"/>
          <w:numId w:val="2"/>
        </w:numPr>
        <w:spacing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Bilješke uz obrazac : PR-RAS</w:t>
      </w:r>
    </w:p>
    <w:p>
      <w:pPr>
        <w:pStyle w:val="Odlomakpopisa"/>
        <w:spacing/>
        <w:ind w:left="643"/>
        <w:rPr>
          <w:rFonts w:ascii="Times New Roman" w:hAnsi="Times New Roman" w:cs="Times New Roman"/>
          <w:b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 bilješkama uz obrazac PR-RAS navode se razlozi zbog kojih je došlo do većih odstupanja od ostvarenja u izvještajnom razdoblju prethodne godine. Pod značajnim odstupanjem podrazumijeva se odstupanje veće od 10 % (+/-) u odnosu na prethodnu godinu.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 obračunskom razdoblju ostvareni su sljedeći rezultati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: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pStyle w:val="Odlomakpopisa"/>
        <w:numPr>
          <w:ilvl w:val="0"/>
          <w:numId w:val="1"/>
        </w:numPr>
        <w:spacing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UKUPNI  PRIHODI ….6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…..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995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716</w:t>
      </w:r>
    </w:p>
    <w:p>
      <w:pPr>
        <w:spacing/>
        <w:ind w:left="7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Struktura prihoda: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Prihodi od Grada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111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326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Prihodi od nenadl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ežnog proračuna(MZO)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882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410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Vla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stiti prihodi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0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Prihodi od Zad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ruge (namjenski)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177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Ostali nespomenuti prihodi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465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Priho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di od Županije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170</w:t>
      </w:r>
    </w:p>
    <w:p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Prihodi od donacija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168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pStyle w:val="Odlomakpopisa"/>
        <w:numPr>
          <w:ilvl w:val="0"/>
          <w:numId w:val="1"/>
        </w:numPr>
        <w:spacing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UKUPN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I RASHODI ….Y034…..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998 734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Struktura rashoda: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.Rashodi od Grada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108 256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.Rashodi od MZO-a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887 987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3.Vlastiti rashodi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0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4.Ra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shodi od Zadruge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524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5.Ostali ne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spomenuti rashodi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1 465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6. Rash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odi od Županije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334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7. Rasho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di od donacija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168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pStyle w:val="Odlomakpopisa"/>
        <w:numPr>
          <w:ilvl w:val="0"/>
          <w:numId w:val="1"/>
        </w:numPr>
        <w:spacing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MANJAK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PRIHODA  za razdoblje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I-XII/2023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(Y004)  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3018</w:t>
      </w:r>
    </w:p>
    <w:p>
      <w:pPr>
        <w:pStyle w:val="Odlomakpopisa"/>
        <w:numPr>
          <w:ilvl w:val="0"/>
          <w:numId w:val="1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Manjku prihoda 2023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godine smo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dodali preneseni manjak iz 2022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.godine od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– 11.502 €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što nam daje konačni manjak prihoda u iznosu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- 14.520 €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</w:t>
      </w:r>
    </w:p>
    <w:p>
      <w:pPr>
        <w:pStyle w:val="Odlomakpopisa"/>
        <w:numPr>
          <w:ilvl w:val="0"/>
          <w:numId w:val="1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Struktura manjka prihoda:</w:t>
      </w:r>
    </w:p>
    <w:p>
      <w:pPr>
        <w:pStyle w:val="Odlomakpopisa"/>
        <w:spacing/>
        <w:ind w:left="108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color w:val="FF0000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Manjak od Grada I-XII/2023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10.895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Manjak od MZO-a I-XII/2023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6.254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Viša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k prihoda od Zadruge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1.484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Višak p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rihoda od Županije (CISDŽ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120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Višak prihoda od donac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ija iz preth.godina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692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Višak prihoda Vlastitih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333</w:t>
      </w:r>
    </w:p>
    <w:p>
      <w:pPr>
        <w:pStyle w:val="Odlomakpopisa"/>
        <w:numPr>
          <w:ilvl w:val="0"/>
          <w:numId w:val="1"/>
        </w:num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Manjak prihoda za pokriće u sljedećem razdoblju: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- 14.520 €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/>
      </w:r>
    </w:p>
    <w:p>
      <w:pPr>
        <w:pStyle w:val="Odlomakpopisa"/>
        <w:spacing/>
        <w:ind w:left="108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Ostvareni ukupni prihodi u 2023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.godini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su porasli za 22,4% u odnosu na 2022. pa ćemo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izvršiti analizu po vrsti prihoda i ustanoviti gdje imamo značajnija odstupanja.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63612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tekuće pomoći od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nenadležnog proračuna (Mzo) se povećala za 25,4 % , a razlog tome je povećanje osnovice par puta u 2023.godini te privremeni dodatak na plaći.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6362 kapitalne pomoć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 od MZO-a nam je smanjena za 34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zbog toga što nije trebalo naručiti puno udžbenika zato što imamo još upotrebljivih.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63613 tekuće pomoći (Županija) su manje za 76 % zato što smo imali samo PH za CISDŽ i PH za povjerenstva.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6526 ostali nespomenuti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prihodi nam je manje za 21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, a odnosi se na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uplate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roditelja za izlet te osiguranja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učenika od nesretnog slučaja.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6614 prihodi od prodaje proizvoda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 robe su smanjeni za 87 % zato što smo većinu maslinovog ulja dali CISDŽ.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6632 se povećala za 566 % zato što smo imali donaciju fizičke osobe za lektirnu građu.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6711 prihodi od nadležnog proračuna za financiranje rashoda p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oslovanja su se povećali za 11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%, a razlog tome je inflacija, poskupljenje cijena na svim poljima.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6712 prihodi od nadležnog proračuna za financiranje nefinancijsk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e imovine su se smanjili za 14% zato što u 2023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godini nismo imali velika ulaganja u nefinancijsku imovinu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kao što je to bio slučaj sa 2022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.god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inu.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highlight w:val="yellow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Ostvareni ukupni rashodi u 2023.godini su porasli za 26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u odnosu na prethodnu g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odinu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međutim, kada promatramo po vrsti rashoda , tada imamo značajnija odstupanja na sljedećim pozicijama.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3111 plaće za redovan rad su porasle za 18 % zbog povećavanja osnovice i privremenog dodatka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3212 naknada za prijevoz je smanjena za 14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% u odnosu na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lani 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3214 ostale naknade troško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va zaposlenima se povećala 30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% zbog locco vožnje, a razlog tome među ostalim je i odlazak tajnice na sud zbog tužbi zaposlenika.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3221 uredski materijalse povećala za 93 % zbog povećanja cijena na tržištu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222 materijal i sirovine se enormno povećala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zbog inflacije.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223 energija se smanjila za 11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u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odnosu na lani.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3224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materijal i dijelovi za te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k.i inv.održ. se smanjile za 59% 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3225 se povećala za 448 % zbog toga što smo imali ulaganja u zavjese za Atrij, printere itd.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3231 usluge telefona, pošte i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prijevoza su se povećale za 12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 u odnosu na lani, a razlog tome su troškovi poštarine  za sudske presude.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3232 usluge tekućeg i investicijskog odr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žavanja su se smanjile za 75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u odnosu na lani zato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što smo lani obnovili sve preostale  učionice s parketom.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3234 komunalne usluge su poskupile za 30 %.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3236 zdravstvene usluge j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e veća za 63 % zbog poskupljenja zdravstvenih usluga.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3238 računalne usluge je porasla za  67 % zbog poskupljenja računalnih usluga.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39 ostale usluge su se smanjile za 29 % u odnosu na lani zbog toga što smo dobili uputu da digitalno uredsko poslovanje knjižimo na konto 3238.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3291 naknade za rad po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vjerenstava su veće za 11% zato što je povećan iznos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za tu poziciju.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3294 čla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narine i norme se povećala za 34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% u odnosu na lani zbog inflacije.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3296 troškovi sudskih postupak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a su veće za 115 % u odnosu na lani.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3433 zatezne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kamate su se povećale za 118 % u odnosu na lani zbog veće realizacije sudskih presuda u ovoj godini.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3722 ostale naknade kućanstvima iz proračuna su veće za 19 %, a tiču se radnih bilježnica, radnih udžbenika, pomoći za Ukrajince.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Kapitalni rashodi su manji za 22 % u odnosu na lani.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4221 uredska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oprema i namještaj su nam za 67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manji u odnosu na lani zbog toga što nismo imali potrebu ulagati u nju.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4223 oprema za održavanje i zaštitu, a u prošloj godini je nismo imali.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4227 uređaji strojevi i oprema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za ostale namjene su nam se smanjili za 16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u odnosu na lani 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4241 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njige su nam se smanjile za 30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zbog toga što nismo trebali naručiti veću količinu udžbenika, zbog onih  još upotrebljivih udžbenika.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pStyle w:val="Odlomakpopisa"/>
        <w:numPr>
          <w:ilvl w:val="0"/>
          <w:numId w:val="2"/>
        </w:numPr>
        <w:spacing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Bilješke uz obrazac: OBVEZE</w:t>
      </w:r>
    </w:p>
    <w:p>
      <w:pPr>
        <w:spacing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V009 stanje obveza na kraju i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zvještajnog razdoblja je 112.203 €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a sastoji se od: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highlight w:val="yellow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Ukupne obveze na dan 31.prosinca 2023.god</w:t>
      </w:r>
      <w:r>
        <w:rPr>
          <w:rFonts w:ascii="Times New Roman" w:hAnsi="Times New Roman" w:cs="Times New Roman"/>
          <w:sz w:val="28"/>
          <w:szCs w:val="28"/>
        </w:rPr>
        <w:t xml:space="preserve">.iznose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112.203,28 €</w:t>
      </w:r>
      <w:r>
        <w:rPr>
          <w:rFonts w:ascii="Times New Roman" w:hAnsi="Times New Roman" w:cs="Times New Roman"/>
          <w:sz w:val="28"/>
          <w:szCs w:val="28"/>
        </w:rPr>
        <w:t xml:space="preserve">   ( Grad  10.839,87 i Mzo  101.363,41) prema dobavljačima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Sveukupne obveze Grada Splita prema dobavljačima za materijalne rashode,te za plaću za pomoćnike EU za 12/2023  i  prema OŠ Stobreč (računi koje je OŠ platila, a Grad će joj refundirati, iznose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(Temeljnica br.1/2024 obveze prema dobavljačima):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Grada prema dobavljačima </w:t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 xml:space="preserve">(materijalni rashodi , rashodi za usluge, prehrana 12-2023 – 573,06 €) </w:t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 xml:space="preserve">7.732,53  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Grada prema OŠ (pomoćnici pl.12/23)</w:t>
      </w:r>
      <w:r>
        <w:rPr>
          <w:rFonts w:ascii="Times New Roman" w:hAnsi="Times New Roman" w:cs="Times New Roman"/>
          <w:sz w:val="28"/>
          <w:szCs w:val="28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</w:rPr>
        <w:t xml:space="preserve">3.055,52 €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Grada prema OŠ (Zagrebačka banka naknada) 51,82 €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Ukupno 10.839,87 €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MZOŠ prema OŠ Stobreč iznose </w:t>
      </w:r>
      <w:r>
        <w:rPr>
          <w:rFonts w:ascii="Times New Roman" w:hAnsi="Times New Roman" w:cs="Times New Roman"/>
          <w:b/>
          <w:sz w:val="28"/>
          <w:szCs w:val="28"/>
        </w:rPr>
        <w:t xml:space="preserve">70.429,05 €</w:t>
      </w:r>
      <w:r>
        <w:rPr>
          <w:rFonts w:ascii="Times New Roman" w:hAnsi="Times New Roman" w:cs="Times New Roman"/>
          <w:sz w:val="28"/>
          <w:szCs w:val="28"/>
        </w:rPr>
        <w:t xml:space="preserve"> (plaća, naknade i invalidi za 12/2023)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HZZO prema OŠ Stobreč iznosi </w:t>
      </w:r>
      <w:r>
        <w:rPr>
          <w:rFonts w:ascii="Times New Roman" w:hAnsi="Times New Roman" w:cs="Times New Roman"/>
          <w:b/>
          <w:sz w:val="28"/>
          <w:szCs w:val="28"/>
        </w:rPr>
        <w:t xml:space="preserve">15.572,86 €</w:t>
      </w:r>
      <w:r>
        <w:rPr>
          <w:rFonts w:ascii="Times New Roman" w:hAnsi="Times New Roman" w:cs="Times New Roman"/>
          <w:sz w:val="28"/>
          <w:szCs w:val="28"/>
        </w:rPr>
        <w:t xml:space="preserve"> (za  bolovanje preko 42 dana)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MZO za prehranu OŠ Stobreč iznosi </w:t>
      </w:r>
      <w:r>
        <w:rPr>
          <w:rFonts w:ascii="Times New Roman" w:hAnsi="Times New Roman" w:cs="Times New Roman"/>
          <w:b/>
          <w:sz w:val="28"/>
          <w:szCs w:val="28"/>
        </w:rPr>
        <w:t xml:space="preserve">15.361,50 €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Ukupno 101.363,41 €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Obveze na kraju izvještajnog razdoblja su nedospjele i biti će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podmirene tijekom siječnja 2024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godine.</w:t>
      </w:r>
    </w:p>
    <w:p>
      <w:pPr>
        <w:spacing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Bilješke uz obrazac: BILANCA</w:t>
      </w:r>
    </w:p>
    <w:p>
      <w:pPr>
        <w:spacing/>
        <w:rPr>
          <w:rFonts w:ascii="Times New Roman" w:hAnsi="Times New Roman" w:cs="Times New Roman"/>
          <w:sz w:val="28"/>
          <w:szCs w:val="28"/>
          <w:highlight w:val="yellow"/>
          <w:lang w:val="hr-HR"/>
        </w:rPr>
      </w:pP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0221 uredska oprema i n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amještaj nam ukazuje da smo za 50 % više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ulagali u ovu stavku u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2023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.godini, a bitna stavka je i to što nam je MZO dalo da tablete, projektore, laptope iz 2019. i 2020. godine stavimo u svoja osnovna sredstva.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Zbog toga nam je i šifra 02922 ispravak vrijednosti veća za 40 % u odnosu na lani.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0227 uređaji, strojevi i oprema za ostale namjene smo ulagali za 16 % više u odnosu na lani.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042 i 049 sitan inventar i ispravak vrijednosti sitnog inventara je veći za 18 % u ovoj godini.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1112 novac na Ž-R kod tuzemnih banaka je porastao za 393 % u odnosu na lani, a razlog tome je što je Grad uplatio novce od MZO-a za 11-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23 za prehranu 29.12.2023. pa je zbog toga ovoliki iznos na Ž-R.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129 ostala potr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aživanja nam je porasla za 80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% u odnosu na prethodnu godinu zbog toga š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to smo imali više zaposlenika koji su ostvarili pravo na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refundacije bolovanja.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193 kontinuirani rashodi budućih razdoblja su narasli za 17 % u odnosu na lani, a to je zbog povećanja osnovice za plaću od MZO-a.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231 obveze za zaposlene su se povećale za 20 % u odnosu na lani zbog povećanja osnovice na plaći i privremenog dodatka.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232 obveze za ma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terijalne rashode su se povećali za 137 % %  u odnosu na lani.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Šifra 239 ostale 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ekuće obveze su porasle za 69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% u odnosu na lani zbog obveza za refundacije bolovanja.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jc w:val="center"/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  <w:t xml:space="preserve">Izvještaj o rashodima prema funkcijskoj klasifikaciji</w:t>
      </w:r>
    </w:p>
    <w:p>
      <w:pPr>
        <w:spacing/>
        <w:jc w:val="center"/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</w:pP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Rashodi prema funkcijskoj klasifikaciji 0912 – osnovno obrazovanje su nam porasli za 25 % u odnosu na lani.</w:t>
      </w: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>
      <w:pPr>
        <w:spacing/>
        <w:jc w:val="center"/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  <w:t xml:space="preserve">Izvještaj o promjenama i vrijednosti i obujmu imovine i obveza</w:t>
      </w:r>
    </w:p>
    <w:p>
      <w:pPr>
        <w:spacing/>
        <w:jc w:val="center"/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</w:pP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Šifra 91512 promjene u obujmu imovine  dogodilo nam se povećanje u vrijednosti i obujmu imovine za 12.285, 26 €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. A razlog tome je što je MZO dopustilo da proknjižimo u svoja osnovna sredstva tablete, projektore i laptope dobivene na korištenje 2019. i 2020. godine.</w:t>
      </w: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Potencijalne obveze po sudskim sporovima</w:t>
      </w:r>
      <w:r>
        <w:rPr>
          <w:rFonts w:ascii="Times New Roman" w:hAnsi="Times New Roman" w:cs="Times New Roman"/>
          <w:b/>
          <w:sz w:val="28"/>
          <w:szCs w:val="28"/>
        </w:rPr>
        <w:t xml:space="preserve"> ( 99651)</w:t>
      </w:r>
      <w:r>
        <w:rPr>
          <w:rFonts w:ascii="Times New Roman" w:hAnsi="Times New Roman" w:cs="Times New Roman"/>
          <w:sz w:val="28"/>
          <w:szCs w:val="28"/>
        </w:rPr>
        <w:t xml:space="preserve"> koje bi se trebali</w:t>
      </w:r>
      <w:r>
        <w:rPr>
          <w:rFonts w:ascii="Times New Roman" w:hAnsi="Times New Roman" w:cs="Times New Roman"/>
          <w:sz w:val="28"/>
          <w:szCs w:val="28"/>
        </w:rPr>
        <w:t xml:space="preserve"> riješiti u 2024. godini  iznose 2.064,00 €,  a to su: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Tužba 6403/2021</w:t>
      </w:r>
      <w:r>
        <w:rPr>
          <w:rFonts w:ascii="Times New Roman" w:hAnsi="Times New Roman" w:cs="Times New Roman"/>
          <w:sz w:val="28"/>
          <w:szCs w:val="28"/>
        </w:rPr>
        <w:t xml:space="preserve"> -502,00 €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Tužba 6667/2021</w:t>
      </w:r>
      <w:r>
        <w:rPr>
          <w:rFonts w:ascii="Times New Roman" w:hAnsi="Times New Roman" w:cs="Times New Roman"/>
          <w:sz w:val="28"/>
          <w:szCs w:val="28"/>
        </w:rPr>
        <w:t xml:space="preserve">– 492,00 €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Tužba 6402/2021</w:t>
      </w:r>
      <w:r>
        <w:rPr>
          <w:rFonts w:ascii="Times New Roman" w:hAnsi="Times New Roman" w:cs="Times New Roman"/>
          <w:sz w:val="28"/>
          <w:szCs w:val="28"/>
        </w:rPr>
        <w:t xml:space="preserve"> – 1070,00 €</w:t>
      </w: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Izvanbilančni zapisi iznose 19.738,00 € (99111) , a odnose se na Kurikularnu opremu koju nam je dostavilo MZO tokom godina do 31.12.2023.</w:t>
      </w: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>
      <w:pPr>
        <w:spacing/>
        <w:jc w:val="both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>
      <w:pPr>
        <w:spacing/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inline>
            <wp:extent cx="5943600" cy="3598120"/>
            <wp:effectExtent xmlns:wp="http://schemas.openxmlformats.org/drawingml/2006/wordprocessingDrawing" l="0" t="0" r="0" b="254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noProof/>
          <w:lang w:val="hr-HR" w:eastAsia="hr-HR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7488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400-02/24-01/2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2181-170-24-1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Stobreč,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31.01.2024.g.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>
      <w:pPr>
        <w:spacing/>
        <w:rPr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Voditelj računovodstva: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Ravnateljica: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____________________</w:t>
      </w:r>
    </w:p>
    <w:p>
      <w:pPr>
        <w:spacing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Ines Rajčić, dipl. oec.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Marina Baćak, prof.</w:t>
      </w:r>
    </w:p>
    <w:sectPr>
      <w:footerReference w:type="default" r:id="rId3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sdt>
    <w:sdtPr>
      <w:rPr/>
      <w:id w:val="-1483848508"/>
      <w:docPartObj>
        <w:docPartGallery w:val="Page Numbers (Bottom of Page)"/>
        <w:docPartUnique/>
      </w:docPartObj>
    </w:sdtPr>
    <w:sdtEndPr>
      <w:rPr/>
    </w:sdtEndPr>
    <w:sdtContent>
      <w:p>
        <w:pPr>
          <w:pStyle w:val="Podnoje"/>
          <w:spacing/>
          <w:jc w:val="right"/>
          <w:rPr/>
        </w:pPr>
        <w:r>
          <w:rPr/>
          <w:fldChar w:fldCharType="begin"/>
        </w:r>
        <w:r>
          <w:rPr/>
          <w:instrText xml:space="preserve">PAGE   \* MERGEFORMAT</w:instrText>
        </w:r>
        <w:r>
          <w:rPr/>
          <w:fldChar w:fldCharType="separate"/>
        </w:r>
        <w:r>
          <w:rPr>
            <w:noProof/>
            <w:lang w:val="hr-HR"/>
          </w:rPr>
          <w:t xml:space="preserve">1</w:t>
        </w:r>
        <w:r>
          <w:rPr/>
          <w:fldChar w:fldCharType="end"/>
        </w:r>
      </w:p>
    </w:sdtContent>
  </w:sdt>
  <w:p>
    <w:pPr>
      <w:pStyle w:val="Podnoje"/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B5C"/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">
    <w:nsid w:val="1F0B13D6"/>
    <w:lvl w:ilvl="0">
      <w:start w:val="1"/>
      <w:numFmt w:val="decimal"/>
      <w:suff w:val="tab"/>
      <w:lvlText w:val="%1."/>
      <w:pPr>
        <w:spacing/>
        <w:ind w:left="643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2E106A36"/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3">
    <w:nsid w:val="30817E58"/>
    <w:lvl w:ilvl="0">
      <w:start w:val="625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3FD64357"/>
    <w:lvl w:ilvl="0">
      <w:start w:val="4"/>
      <w:numFmt w:val="bullet"/>
      <w:suff w:val="tab"/>
      <w:lvlText w:val="-"/>
      <w:pPr>
        <w:spacing/>
        <w:ind w:left="144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60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4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76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hyphenationZone w:val="425"/>
  <w:characterSpacingControl xmlns:w="http://schemas.openxmlformats.org/wordprocessingml/2006/main" w:val="doNotCompress"/>
  <w:savePreviewPicture xmlns:w="http://schemas.openxmlformats.org/wordprocessingml/2006/mai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703"/>
        <w:tab w:val="right" w:pos="9406"/>
      </w:tabs>
      <w:spacing w:after="0" w:line="240" w:lineRule="auto"/>
    </w:pPr>
    <w:rPr/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703"/>
        <w:tab w:val="right" w:pos="9406"/>
      </w:tabs>
      <w:spacing w:after="0" w:line="240" w:lineRule="auto"/>
    </w:pPr>
    <w:rPr/>
  </w:style>
  <w:style w:type="character" w:styleId="PodnojeChar" w:customStyle="1">
    <w:name w:val="Podnožje Char"/>
    <w:basedOn w:val="Zadanifontodlomka"/>
    <w:link w:val="Footer"/>
    <w:uiPriority w:val="99"/>
    <w:rPr/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3" Type="http://schemas.openxmlformats.org/officeDocument/2006/relationships/footer" Target="footer3.xml" /><Relationship Id="rId8" Type="http://schemas.openxmlformats.org/officeDocument/2006/relationships/fontTable" Target="fontTable.xml" /><Relationship Id="rId1" Type="http://schemas.openxmlformats.org/officeDocument/2006/relationships/image" Target="media/image1.emf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8</Pages>
  <Words>1501</Words>
  <Characters>8561</Characters>
  <Application>Microsoft Office Word</Application>
  <DocSecurity>0</DocSecurity>
  <Lines>71</Lines>
  <Paragraphs>20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lastPrinted>2024-01-31T10:27:00Z</cp:lastPrinted>
  <cp:revision>2</cp:revision>
  <dcterms:created xsi:type="dcterms:W3CDTF">2024-01-31T12:07:00Z</dcterms:created>
  <dcterms:modified xsi:type="dcterms:W3CDTF">2024-01-31T12:07:00Z</dcterms:modified>
</cp:coreProperties>
</file>