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40" w:rsidRDefault="00FC6440" w:rsidP="00FC6440">
      <w:pPr>
        <w:rPr>
          <w:b/>
          <w:sz w:val="32"/>
          <w:szCs w:val="32"/>
        </w:rPr>
      </w:pPr>
      <w:bookmarkStart w:id="0" w:name="OLE_LINK1"/>
      <w:bookmarkStart w:id="1" w:name="_GoBack"/>
      <w:bookmarkEnd w:id="1"/>
      <w:r>
        <w:rPr>
          <w:b/>
          <w:sz w:val="32"/>
          <w:szCs w:val="32"/>
        </w:rPr>
        <w:t>OSNOVNA   ŠKOLA   STOBREČ</w:t>
      </w:r>
    </w:p>
    <w:p w:rsidR="00FC6440" w:rsidRDefault="00FC6440" w:rsidP="00FC6440">
      <w:proofErr w:type="spellStart"/>
      <w:r>
        <w:t>Ivankova</w:t>
      </w:r>
      <w:proofErr w:type="spellEnd"/>
      <w:r>
        <w:t xml:space="preserve"> 13</w:t>
      </w:r>
    </w:p>
    <w:p w:rsidR="00FC6440" w:rsidRDefault="00FC6440" w:rsidP="00FC6440">
      <w:r>
        <w:t>21311  S T O B R E Č</w:t>
      </w:r>
    </w:p>
    <w:p w:rsidR="00FC6440" w:rsidRDefault="00CB792B" w:rsidP="00CB792B">
      <w:r>
        <w:t>OIB: 87172411947</w:t>
      </w:r>
    </w:p>
    <w:p w:rsidR="00CB792B" w:rsidRDefault="00CB792B" w:rsidP="00CB792B"/>
    <w:p w:rsidR="00CB792B" w:rsidRDefault="00585531" w:rsidP="00CB792B">
      <w:r>
        <w:t>Klasa: 400-02/23-01/1</w:t>
      </w:r>
    </w:p>
    <w:p w:rsidR="00585531" w:rsidRDefault="008C69E8" w:rsidP="00CB792B">
      <w:proofErr w:type="spellStart"/>
      <w:r>
        <w:t>Urbroj</w:t>
      </w:r>
      <w:proofErr w:type="spellEnd"/>
      <w:r>
        <w:t>: 2181-170-23-2</w:t>
      </w:r>
    </w:p>
    <w:p w:rsidR="00585531" w:rsidRDefault="00585531" w:rsidP="00CB792B"/>
    <w:p w:rsidR="00585531" w:rsidRDefault="008C69E8" w:rsidP="00CB792B">
      <w:r>
        <w:t>Stobreč, 30. ožujka</w:t>
      </w:r>
      <w:r w:rsidR="00585531">
        <w:t xml:space="preserve"> 2023.</w:t>
      </w:r>
    </w:p>
    <w:p w:rsidR="00CB792B" w:rsidRDefault="00CB792B" w:rsidP="00CB792B"/>
    <w:p w:rsidR="00CB792B" w:rsidRDefault="00CB792B" w:rsidP="00CB792B"/>
    <w:p w:rsidR="00585531" w:rsidRDefault="00585531" w:rsidP="00CB792B"/>
    <w:p w:rsidR="00585531" w:rsidRDefault="00585531" w:rsidP="00CB792B"/>
    <w:p w:rsidR="00CB792B" w:rsidRDefault="00CB792B" w:rsidP="00CB792B"/>
    <w:p w:rsidR="008E4900" w:rsidRDefault="008E4900"/>
    <w:p w:rsidR="00FC6440" w:rsidRPr="00C80919" w:rsidRDefault="00706714">
      <w:r>
        <w:t>Temeljem članka 81. novog Zakona o proračunu</w:t>
      </w:r>
      <w:r w:rsidR="00C80919">
        <w:t xml:space="preserve"> (NN 144/21)</w:t>
      </w:r>
      <w:r>
        <w:t xml:space="preserve"> i Pravilnika o polugodišnjem i godišnjem izvještavanju o izvršenju proračuna (</w:t>
      </w:r>
      <w:r w:rsidR="00C80919">
        <w:t>NN 24/13, 102/17, 1/20 i 147/20</w:t>
      </w:r>
      <w:r w:rsidR="00C86DAC">
        <w:t>), Zakona o fiskalnoj odgovornosti (NN 111/18) i Uredbe o sastavljanju i predaji Izjave o fiskalnoj odgovornosti i izvještaja o primjeni fiskalnih pravila (NN 95/19) te č</w:t>
      </w:r>
      <w:r w:rsidR="00C80919">
        <w:t xml:space="preserve">lanka 58. Statuta OŠ </w:t>
      </w:r>
      <w:r w:rsidR="00C80919" w:rsidRPr="00C80919">
        <w:t xml:space="preserve">Stobreč </w:t>
      </w:r>
      <w:r w:rsidR="00C80919" w:rsidRPr="00C80919">
        <w:rPr>
          <w:color w:val="242424"/>
          <w:shd w:val="clear" w:color="auto" w:fill="FFFFFF"/>
        </w:rPr>
        <w:t>i članka 70. Statuta Osnovne škole Stobreč, Stobreč (</w:t>
      </w:r>
      <w:r w:rsidR="00C80919" w:rsidRPr="00C80919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KLASA: 602-02/19-01/36, URBROJ: 2181-170-19-1, od 22.05.2019.g., </w:t>
      </w:r>
      <w:proofErr w:type="spellStart"/>
      <w:r w:rsidR="00C80919" w:rsidRPr="00C80919">
        <w:rPr>
          <w:color w:val="242424"/>
          <w:bdr w:val="none" w:sz="0" w:space="0" w:color="auto" w:frame="1"/>
          <w:shd w:val="clear" w:color="auto" w:fill="FFFFFF"/>
          <w:lang w:val="en-GB"/>
        </w:rPr>
        <w:t>te</w:t>
      </w:r>
      <w:proofErr w:type="spellEnd"/>
      <w:r w:rsidR="00C80919" w:rsidRPr="00C80919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 KLASA: 602-02/20-01/62, URBROJ: 2181-170-20-4, od 29.05.2020.g.)</w:t>
      </w:r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, </w:t>
      </w:r>
      <w:proofErr w:type="spellStart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>Školski</w:t>
      </w:r>
      <w:proofErr w:type="spellEnd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>odbor</w:t>
      </w:r>
      <w:proofErr w:type="spellEnd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>na</w:t>
      </w:r>
      <w:proofErr w:type="spellEnd"/>
      <w:r w:rsidR="008C69E8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="008C69E8">
        <w:rPr>
          <w:color w:val="242424"/>
          <w:bdr w:val="none" w:sz="0" w:space="0" w:color="auto" w:frame="1"/>
          <w:shd w:val="clear" w:color="auto" w:fill="FFFFFF"/>
          <w:lang w:val="en-GB"/>
        </w:rPr>
        <w:t>sjednici</w:t>
      </w:r>
      <w:proofErr w:type="spellEnd"/>
      <w:r w:rsidR="008C69E8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="008C69E8">
        <w:rPr>
          <w:color w:val="242424"/>
          <w:bdr w:val="none" w:sz="0" w:space="0" w:color="auto" w:frame="1"/>
          <w:shd w:val="clear" w:color="auto" w:fill="FFFFFF"/>
          <w:lang w:val="en-GB"/>
        </w:rPr>
        <w:t>održanoj</w:t>
      </w:r>
      <w:proofErr w:type="spellEnd"/>
      <w:r w:rsidR="008C69E8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 dana 30. </w:t>
      </w:r>
      <w:proofErr w:type="spellStart"/>
      <w:r w:rsidR="008C69E8">
        <w:rPr>
          <w:color w:val="242424"/>
          <w:bdr w:val="none" w:sz="0" w:space="0" w:color="auto" w:frame="1"/>
          <w:shd w:val="clear" w:color="auto" w:fill="FFFFFF"/>
          <w:lang w:val="en-GB"/>
        </w:rPr>
        <w:t>ožujka</w:t>
      </w:r>
      <w:proofErr w:type="spellEnd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 2023. </w:t>
      </w:r>
      <w:proofErr w:type="spellStart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>godine</w:t>
      </w:r>
      <w:proofErr w:type="spellEnd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>donosi</w:t>
      </w:r>
      <w:proofErr w:type="spellEnd"/>
      <w:r w:rsidR="00C80919">
        <w:rPr>
          <w:color w:val="242424"/>
          <w:bdr w:val="none" w:sz="0" w:space="0" w:color="auto" w:frame="1"/>
          <w:shd w:val="clear" w:color="auto" w:fill="FFFFFF"/>
          <w:lang w:val="en-GB"/>
        </w:rPr>
        <w:t>:</w:t>
      </w:r>
    </w:p>
    <w:p w:rsidR="00706714" w:rsidRDefault="00706714"/>
    <w:p w:rsidR="00585531" w:rsidRDefault="00585531"/>
    <w:p w:rsidR="00585531" w:rsidRDefault="00585531"/>
    <w:p w:rsidR="00AB678F" w:rsidRDefault="00AB678F"/>
    <w:p w:rsidR="00CB792B" w:rsidRDefault="00CB792B"/>
    <w:p w:rsidR="00FC6440" w:rsidRDefault="00FC6440" w:rsidP="00FC6440">
      <w:pPr>
        <w:jc w:val="center"/>
        <w:rPr>
          <w:b/>
          <w:sz w:val="32"/>
          <w:szCs w:val="32"/>
        </w:rPr>
      </w:pPr>
      <w:r w:rsidRPr="00FC6440">
        <w:rPr>
          <w:b/>
          <w:sz w:val="32"/>
          <w:szCs w:val="32"/>
        </w:rPr>
        <w:t xml:space="preserve">GODIŠNJE IZVJEŠĆE O IZVRŠENJU FINANCIJSKOG </w:t>
      </w:r>
    </w:p>
    <w:p w:rsidR="00FC6440" w:rsidRDefault="00FC6440" w:rsidP="00FC6440">
      <w:pPr>
        <w:jc w:val="center"/>
        <w:rPr>
          <w:b/>
          <w:sz w:val="32"/>
          <w:szCs w:val="32"/>
        </w:rPr>
      </w:pPr>
      <w:r w:rsidRPr="00FC6440">
        <w:rPr>
          <w:b/>
          <w:sz w:val="32"/>
          <w:szCs w:val="32"/>
        </w:rPr>
        <w:t>PLANA ZA 2022.g.</w:t>
      </w:r>
    </w:p>
    <w:p w:rsidR="00921C00" w:rsidRDefault="00921C00" w:rsidP="00FC6440">
      <w:pPr>
        <w:jc w:val="center"/>
        <w:rPr>
          <w:b/>
          <w:sz w:val="32"/>
          <w:szCs w:val="32"/>
        </w:rPr>
      </w:pPr>
    </w:p>
    <w:p w:rsidR="00921C00" w:rsidRDefault="00921C00" w:rsidP="00FC6440">
      <w:pPr>
        <w:jc w:val="center"/>
        <w:rPr>
          <w:b/>
          <w:sz w:val="32"/>
          <w:szCs w:val="32"/>
        </w:rPr>
      </w:pPr>
    </w:p>
    <w:p w:rsidR="00921C00" w:rsidRDefault="00921C00" w:rsidP="00FC6440">
      <w:pPr>
        <w:jc w:val="center"/>
        <w:rPr>
          <w:b/>
          <w:sz w:val="32"/>
          <w:szCs w:val="32"/>
        </w:rPr>
      </w:pPr>
    </w:p>
    <w:p w:rsidR="00F523E4" w:rsidRDefault="00F523E4" w:rsidP="00F523E4">
      <w:pPr>
        <w:rPr>
          <w:b/>
          <w:sz w:val="28"/>
          <w:szCs w:val="28"/>
        </w:rPr>
      </w:pPr>
    </w:p>
    <w:p w:rsidR="00FC6440" w:rsidRPr="00F523E4" w:rsidRDefault="00F523E4" w:rsidP="00F523E4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F523E4">
        <w:rPr>
          <w:b/>
          <w:sz w:val="28"/>
          <w:szCs w:val="28"/>
        </w:rPr>
        <w:t xml:space="preserve">OPĆI DIO </w:t>
      </w:r>
    </w:p>
    <w:p w:rsidR="00F523E4" w:rsidRDefault="00F523E4" w:rsidP="00FC6440">
      <w:pPr>
        <w:jc w:val="center"/>
        <w:rPr>
          <w:b/>
          <w:sz w:val="32"/>
          <w:szCs w:val="32"/>
        </w:rPr>
      </w:pPr>
    </w:p>
    <w:p w:rsidR="00386DEE" w:rsidRDefault="005A3CD7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Iz donje tablice vidimo da su se prihodi p</w:t>
      </w:r>
      <w:r w:rsidR="00921C00">
        <w:rPr>
          <w:noProof/>
          <w:lang w:val="en-US" w:eastAsia="en-US"/>
        </w:rPr>
        <w:t>oslovanja(6) povećali za 7% u odnosu na 2021.god., a u odnosu na plan 2022. u smanjeni za 2%.</w:t>
      </w:r>
    </w:p>
    <w:p w:rsidR="00921C00" w:rsidRDefault="00921C00" w:rsidP="00FC6440">
      <w:pPr>
        <w:jc w:val="both"/>
        <w:rPr>
          <w:noProof/>
          <w:lang w:val="en-US" w:eastAsia="en-US"/>
        </w:rPr>
      </w:pPr>
    </w:p>
    <w:p w:rsidR="00921C00" w:rsidRDefault="00921C00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Rashodi (3)poslovanja su povećani za 11 % u odnosu na 2021., a u odnosu na plan smanjeni su za 2%.</w:t>
      </w:r>
    </w:p>
    <w:p w:rsidR="00921C00" w:rsidRDefault="00921C00" w:rsidP="00FC6440">
      <w:pPr>
        <w:jc w:val="both"/>
        <w:rPr>
          <w:noProof/>
          <w:lang w:val="en-US" w:eastAsia="en-US"/>
        </w:rPr>
      </w:pPr>
    </w:p>
    <w:p w:rsidR="00921C00" w:rsidRDefault="00921C00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Rashodi (4) za</w:t>
      </w:r>
      <w:r w:rsidR="00585E7D">
        <w:rPr>
          <w:noProof/>
          <w:lang w:val="en-US" w:eastAsia="en-US"/>
        </w:rPr>
        <w:t xml:space="preserve"> nabavu nefinancijske imovine su</w:t>
      </w:r>
      <w:r>
        <w:rPr>
          <w:noProof/>
          <w:lang w:val="en-US" w:eastAsia="en-US"/>
        </w:rPr>
        <w:t xml:space="preserve"> smanjeni za 68% u odnosu na 2021. god., a u odnosu na plan 2022. su smanjeni za 18%</w:t>
      </w:r>
    </w:p>
    <w:bookmarkEnd w:id="0"/>
    <w:p w:rsidR="00706714" w:rsidRDefault="00706714" w:rsidP="00FC6440">
      <w:pPr>
        <w:jc w:val="both"/>
        <w:rPr>
          <w:noProof/>
          <w:lang w:val="en-US" w:eastAsia="en-US"/>
        </w:rPr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809"/>
        <w:gridCol w:w="809"/>
        <w:gridCol w:w="644"/>
        <w:gridCol w:w="500"/>
        <w:gridCol w:w="2243"/>
        <w:gridCol w:w="1269"/>
        <w:gridCol w:w="1059"/>
        <w:gridCol w:w="1269"/>
        <w:gridCol w:w="932"/>
        <w:gridCol w:w="932"/>
      </w:tblGrid>
      <w:tr w:rsidR="002F58AE" w:rsidRPr="002F58AE" w:rsidTr="002F58AE">
        <w:trPr>
          <w:trHeight w:val="34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2F58AE" w:rsidRPr="002F58AE" w:rsidTr="002F58AE">
        <w:trPr>
          <w:trHeight w:val="312"/>
        </w:trPr>
        <w:tc>
          <w:tcPr>
            <w:tcW w:w="9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AB678F" w:rsidRDefault="002F58AE" w:rsidP="00AB678F">
            <w:pPr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:rsidR="00AB678F" w:rsidRPr="00AB678F" w:rsidRDefault="00AB678F" w:rsidP="00AB678F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</w:tr>
      <w:tr w:rsidR="002F58AE" w:rsidRPr="002F58AE" w:rsidTr="002F58AE">
        <w:trPr>
          <w:trHeight w:val="34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2F58AE" w:rsidRPr="002F58AE" w:rsidTr="002F58AE">
        <w:trPr>
          <w:trHeight w:val="312"/>
        </w:trPr>
        <w:tc>
          <w:tcPr>
            <w:tcW w:w="9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 xml:space="preserve"> SAŽETAK IZVRŠENJA PO RAČUNU PRIHODA I RASHODA</w:t>
            </w:r>
          </w:p>
        </w:tc>
      </w:tr>
      <w:tr w:rsidR="002F58AE" w:rsidRPr="002F58AE" w:rsidTr="002F58AE">
        <w:trPr>
          <w:trHeight w:val="34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F58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F58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F58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F58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79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IZVRŠENJE 2021.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IZVORNI PLAN 2022.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IZVRŠENJE 2022.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INDEKS = 4/2*100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INDEKS  = 4/3*100</w:t>
            </w:r>
          </w:p>
        </w:tc>
      </w:tr>
      <w:tr w:rsidR="002F58AE" w:rsidRPr="002F58AE" w:rsidTr="002F58A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</w:tr>
      <w:tr w:rsidR="002F58AE" w:rsidRPr="002F58AE" w:rsidTr="002F58AE">
        <w:trPr>
          <w:trHeight w:val="420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PRIHODI UKUPNO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5.646.158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6.166.015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6.035.062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</w:tr>
      <w:tr w:rsidR="002F58AE" w:rsidRPr="002F58AE" w:rsidTr="002F58AE">
        <w:trPr>
          <w:trHeight w:val="432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6  PRIHODI POSLOVANJA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5.646.158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6.166.015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6.035.062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</w:tr>
      <w:tr w:rsidR="002F58AE" w:rsidRPr="002F58AE" w:rsidTr="002F58AE">
        <w:trPr>
          <w:trHeight w:val="720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7  PRIHODI OD PRODAJE NEFINANCIJSKE IMOVINE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288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RASHODI UKUPNO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5.644.726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6.166.015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6.027.788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</w:tr>
      <w:tr w:rsidR="002F58AE" w:rsidRPr="002F58AE" w:rsidTr="002F58AE">
        <w:trPr>
          <w:trHeight w:val="444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  RASHODI  POSLOVANJA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5.354.600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6.052.335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5.934.715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</w:tr>
      <w:tr w:rsidR="002F58AE" w:rsidRPr="002F58AE" w:rsidTr="002F58AE">
        <w:trPr>
          <w:trHeight w:val="876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4  RASHODI ZA NABAVU NEFINANCIJSKE IMOVINE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290.126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113.680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93.073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</w:tr>
      <w:tr w:rsidR="002F58AE" w:rsidRPr="002F58AE" w:rsidTr="002F58AE">
        <w:trPr>
          <w:trHeight w:val="288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RAZLIKA - VIŠAK / MANJAK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1.432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7.273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34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2F58AE" w:rsidRPr="002F58AE" w:rsidTr="002F58AE">
        <w:trPr>
          <w:trHeight w:val="55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2F58AE"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  <w:t>REZULTAT NA 922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2F58AE" w:rsidRPr="002F58AE" w:rsidTr="002F58AE">
        <w:trPr>
          <w:trHeight w:val="79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IZVRŠENJE 2021.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IZVORNI  PLAN 2022.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IZVRŠENJE 2022.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INDEKS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INDEKS</w:t>
            </w:r>
          </w:p>
        </w:tc>
      </w:tr>
      <w:tr w:rsidR="002F58AE" w:rsidRPr="002F58AE" w:rsidTr="002F58AE">
        <w:trPr>
          <w:trHeight w:val="516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UKUPAN DONOS VIŠKA / MANJKA IZ PRETHODNE(IH) GODINE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F58AE" w:rsidRPr="002F58AE" w:rsidRDefault="009C27E2" w:rsidP="00DE18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10465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F58AE" w:rsidRPr="002F58AE" w:rsidRDefault="00FA3808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11020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F58AE" w:rsidRPr="002F58AE" w:rsidRDefault="009C27E2" w:rsidP="00DE18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11278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9C27E2" w:rsidP="00DE18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9C27E2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102</w:t>
            </w:r>
          </w:p>
        </w:tc>
      </w:tr>
      <w:tr w:rsidR="002F58AE" w:rsidRPr="002F58AE" w:rsidTr="002F58AE">
        <w:trPr>
          <w:trHeight w:val="732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VIŠAK / MANJAK IZ PRETHOD</w:t>
            </w:r>
            <w:r w:rsidR="00DE18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NE(IH) GODINE KOJI  POTROŠIO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DE18FF" w:rsidP="004453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920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DE18FF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11020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DE18FF" w:rsidP="004453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3046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E46724" w:rsidP="0044532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331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9C27E2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28</w:t>
            </w:r>
            <w:r w:rsidR="002F58AE"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28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288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288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312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lang w:val="en-US" w:eastAsia="en-US"/>
              </w:rPr>
            </w:pPr>
            <w:r w:rsidRPr="002F58AE">
              <w:rPr>
                <w:rFonts w:ascii="Arial" w:hAnsi="Arial" w:cs="Arial"/>
                <w:lang w:val="en-US" w:eastAsia="en-US"/>
              </w:rPr>
              <w:t xml:space="preserve">RAČUN FINANCIRANJA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sz w:val="20"/>
                <w:szCs w:val="20"/>
                <w:lang w:val="en-US" w:eastAsia="en-US"/>
              </w:rPr>
            </w:pPr>
          </w:p>
        </w:tc>
      </w:tr>
      <w:tr w:rsidR="002F58AE" w:rsidRPr="002F58AE" w:rsidTr="002F58AE">
        <w:trPr>
          <w:trHeight w:val="79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RAČUN FINANCIRANJA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IZVRŠENJE 2021.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IZVORNI PLAN 2022.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IZVRŠENJE 2022.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INDEKS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INDEKS</w:t>
            </w:r>
          </w:p>
        </w:tc>
      </w:tr>
      <w:tr w:rsidR="002F58AE" w:rsidRPr="002F58AE" w:rsidTr="002F58AE">
        <w:trPr>
          <w:trHeight w:val="624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8  PRIMICI OD FINANCIJSKE IMOVINE I ZADUŽIVANJA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636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5  IZDACI ZA FINANCIJSKU IMOVINU I OTPLATE ZAJMOVA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408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NETO FINANCIRANJE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DE18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F58AE" w:rsidRPr="002F58AE" w:rsidTr="002F58AE">
        <w:trPr>
          <w:trHeight w:val="588"/>
        </w:trPr>
        <w:tc>
          <w:tcPr>
            <w:tcW w:w="5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VIŠAK I MANJAK + NETO FINANCIRANJE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585E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585E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2F58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CB792B" w:rsidRDefault="00577AEE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Tablica 1.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2604"/>
        <w:gridCol w:w="1458"/>
        <w:gridCol w:w="1624"/>
        <w:gridCol w:w="1403"/>
        <w:gridCol w:w="1577"/>
        <w:gridCol w:w="1590"/>
      </w:tblGrid>
      <w:tr w:rsidR="002F58AE" w:rsidRPr="002F58AE" w:rsidTr="002F58AE">
        <w:trPr>
          <w:trHeight w:val="288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  <w:p w:rsidR="00AB678F" w:rsidRPr="002F58AE" w:rsidRDefault="00AB678F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2F58AE" w:rsidRPr="002F58AE" w:rsidTr="002F58AE">
        <w:trPr>
          <w:trHeight w:val="348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sz w:val="28"/>
                <w:szCs w:val="28"/>
                <w:lang w:val="en-US" w:eastAsia="en-US"/>
              </w:rPr>
              <w:t>RASHODI PREMA FUNKCIJSKOJ KLASIFIKACIJI</w:t>
            </w:r>
          </w:p>
        </w:tc>
      </w:tr>
      <w:tr w:rsidR="002F58AE" w:rsidRPr="002F58AE" w:rsidTr="002F58AE">
        <w:trPr>
          <w:trHeight w:val="300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Times" w:hAnsi="Times" w:cs="Times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8AE" w:rsidRPr="002F58AE" w:rsidRDefault="002F58AE" w:rsidP="002F58AE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2F58AE" w:rsidRPr="002F58AE" w:rsidTr="002F58AE">
        <w:trPr>
          <w:trHeight w:val="90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BROJČANA OZNAKA I NAZIV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proofErr w:type="spellStart"/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Izvršenje</w:t>
            </w:r>
            <w:proofErr w:type="spellEnd"/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 xml:space="preserve"> 2021.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Plan 2022.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proofErr w:type="spellStart"/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Izvršenje</w:t>
            </w:r>
            <w:proofErr w:type="spellEnd"/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 xml:space="preserve"> 2022.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proofErr w:type="spellStart"/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Indeks</w:t>
            </w:r>
            <w:proofErr w:type="spellEnd"/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 xml:space="preserve"> D10/B10*100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58AE" w:rsidRPr="002F58AE" w:rsidRDefault="002F58AE" w:rsidP="002F58AE">
            <w:pPr>
              <w:jc w:val="center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proofErr w:type="spellStart"/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Indeks</w:t>
            </w:r>
            <w:proofErr w:type="spellEnd"/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 xml:space="preserve"> D10/C10*100</w:t>
            </w:r>
          </w:p>
        </w:tc>
      </w:tr>
      <w:tr w:rsidR="002F58AE" w:rsidRPr="002F58AE" w:rsidTr="002F58AE">
        <w:trPr>
          <w:trHeight w:val="1200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rPr>
                <w:rFonts w:ascii="Times" w:hAnsi="Times" w:cs="Times"/>
                <w:b/>
                <w:bCs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lang w:val="en-US" w:eastAsia="en-US"/>
              </w:rPr>
              <w:t>09 OBRAZOVANJE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5.644.726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6.166.015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6.027.788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98</w:t>
            </w:r>
          </w:p>
        </w:tc>
      </w:tr>
      <w:tr w:rsidR="002F58AE" w:rsidRPr="002F58AE" w:rsidTr="002F58AE">
        <w:trPr>
          <w:trHeight w:val="900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rPr>
                <w:rFonts w:ascii="Times" w:hAnsi="Times" w:cs="Times"/>
                <w:b/>
                <w:bCs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lang w:val="en-US" w:eastAsia="en-US"/>
              </w:rPr>
              <w:t>091 OSNOVNOŠKOLSKO OBRAZOVANJE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5.644.726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6.166.015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6.027.788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107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98</w:t>
            </w:r>
          </w:p>
        </w:tc>
      </w:tr>
      <w:tr w:rsidR="002F58AE" w:rsidRPr="002F58AE" w:rsidTr="002F58AE">
        <w:trPr>
          <w:trHeight w:val="312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8AE" w:rsidRPr="002F58AE" w:rsidRDefault="002F58AE" w:rsidP="002F58AE">
            <w:pPr>
              <w:rPr>
                <w:rFonts w:ascii="Times" w:hAnsi="Times" w:cs="Times"/>
                <w:b/>
                <w:bCs/>
                <w:i/>
                <w:iCs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i/>
                <w:iCs/>
                <w:lang w:val="en-US" w:eastAsia="en-US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8AE" w:rsidRPr="002F58AE" w:rsidRDefault="002F58AE" w:rsidP="002F58AE">
            <w:pPr>
              <w:jc w:val="right"/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</w:pPr>
            <w:r w:rsidRPr="002F58AE">
              <w:rPr>
                <w:rFonts w:ascii="Times" w:hAnsi="Times" w:cs="Times"/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706714" w:rsidRDefault="00577AEE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Tablica 2.</w:t>
      </w: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DD4462" w:rsidRDefault="00E12401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Rashodi prema funkcijskoj klasifikaciji su se povećali u odnosu na 202</w:t>
      </w:r>
      <w:r w:rsidR="009E523B">
        <w:rPr>
          <w:noProof/>
          <w:lang w:val="en-US" w:eastAsia="en-US"/>
        </w:rPr>
        <w:t>1.g. za 7%, a u odnosu na izvorni</w:t>
      </w:r>
      <w:r>
        <w:rPr>
          <w:noProof/>
          <w:lang w:val="en-US" w:eastAsia="en-US"/>
        </w:rPr>
        <w:t xml:space="preserve"> pl</w:t>
      </w:r>
      <w:r w:rsidR="009E523B">
        <w:rPr>
          <w:noProof/>
          <w:lang w:val="en-US" w:eastAsia="en-US"/>
        </w:rPr>
        <w:t>an smanjeni su za 2%.</w:t>
      </w:r>
    </w:p>
    <w:p w:rsidR="00706714" w:rsidRDefault="00706714" w:rsidP="00FC6440">
      <w:pPr>
        <w:jc w:val="both"/>
        <w:rPr>
          <w:noProof/>
          <w:lang w:val="en-US" w:eastAsia="en-US"/>
        </w:rPr>
      </w:pPr>
    </w:p>
    <w:p w:rsidR="00706714" w:rsidRDefault="004E6C73" w:rsidP="00FC6440">
      <w:pPr>
        <w:jc w:val="both"/>
        <w:rPr>
          <w:noProof/>
          <w:lang w:val="en-US" w:eastAsia="en-US"/>
        </w:rPr>
      </w:pPr>
      <w:r w:rsidRPr="004E6C73">
        <w:rPr>
          <w:noProof/>
          <w:lang w:val="en-US" w:eastAsia="en-US"/>
        </w:rPr>
        <w:object w:dxaOrig="10834" w:dyaOrig="14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46.25pt" o:ole="">
            <v:imagedata r:id="rId6" o:title=""/>
          </v:shape>
          <o:OLEObject Type="Embed" ProgID="Excel.Sheet.12" ShapeID="_x0000_i1025" DrawAspect="Content" ObjectID="_1742286628" r:id="rId7"/>
        </w:object>
      </w:r>
    </w:p>
    <w:p w:rsidR="00706714" w:rsidRDefault="00AB678F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lastRenderedPageBreak/>
        <w:t>Tablica 3.</w:t>
      </w:r>
    </w:p>
    <w:tbl>
      <w:tblPr>
        <w:tblW w:w="9406" w:type="dxa"/>
        <w:tblLook w:val="04A0" w:firstRow="1" w:lastRow="0" w:firstColumn="1" w:lastColumn="0" w:noHBand="0" w:noVBand="1"/>
      </w:tblPr>
      <w:tblGrid>
        <w:gridCol w:w="1145"/>
        <w:gridCol w:w="1347"/>
        <w:gridCol w:w="462"/>
        <w:gridCol w:w="2654"/>
        <w:gridCol w:w="1116"/>
        <w:gridCol w:w="1116"/>
        <w:gridCol w:w="1116"/>
        <w:gridCol w:w="755"/>
        <w:gridCol w:w="755"/>
      </w:tblGrid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OPĆI DIO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AB678F" w:rsidRPr="00AB678F" w:rsidTr="00AB678F">
        <w:trPr>
          <w:trHeight w:val="49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IZVRŠENJE RASHODA PO EKONOMSKOJ KLASIFIKACIJI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6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IZVRŠENJE 2021.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IZVORNI PLAN 2022.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IZVRŠENJE 2022.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INDEKS 5/3*100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INDEKS 5/4*100</w:t>
            </w:r>
          </w:p>
        </w:tc>
      </w:tr>
      <w:tr w:rsidR="00AB678F" w:rsidRPr="00AB678F" w:rsidTr="00AB678F">
        <w:trPr>
          <w:trHeight w:val="432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</w:tr>
      <w:tr w:rsidR="00AB678F" w:rsidRPr="00AB678F" w:rsidTr="00AB678F">
        <w:trPr>
          <w:trHeight w:val="27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UKUPNI  RASHODI (3+4)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5.644.725,59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6.166.015,00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6.027.788,21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106,79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97,76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POSLOVANJA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5354599,91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6052335,00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5934714,90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110,83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98,06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ZAPOSLENE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4677944,71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5105510,00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5081154,49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108,62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99,52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311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PLAĆE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3.874.517,15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4223340,00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4.196.881,71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108,32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99,37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3111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PLAĆE ZA REDOVAN RAD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3.874.517,15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4223340,00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4.196.881,71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108,32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99,37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312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 RASHODI ZA ZAPOSLENE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162.221,69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200020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188.853,75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116,42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94,42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3121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 RASHODI ZA ZAPOSLENE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162.221,69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200020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188.853,75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116,42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94,42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313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DOPRINOSI NA PLAĆE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641205,87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682150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695419,03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108,45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101,95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3132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DOPRINOSI ZA ZDRAVSTVENO OSIGURANJE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641.205,87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681470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694.996,38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108,39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101,98</w:t>
            </w:r>
          </w:p>
        </w:tc>
      </w:tr>
      <w:tr w:rsidR="00AB678F" w:rsidRPr="00AB678F" w:rsidTr="00AB678F">
        <w:trPr>
          <w:trHeight w:val="96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DOPRINOSI ZA ZAPOŠLJAVANJE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422,65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62,15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 RASHODI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505.201,11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710.710,00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656.617,14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129,97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92,39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 TROŠKOVA ZAPOSLENIMA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107.287,49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161.610,00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142.045,22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132,40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87,89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3211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SLUŽBENA PUTOVANJA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1.874,00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30760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22.373,29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1193,88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72,74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3212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 ZA PRIJEVOZ, ZA RAD NA TERENU I ODVOJENI ŽIVOT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102.124,49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120930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111.227,93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108,91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91,98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3213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STRUČNO USAVRŠAVANJE ZAPOSLENIKA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2.575,00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8630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6.725,00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261,17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77,93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3214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 NAKNADE TROŠK.ZAPOSL.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714,00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1.719,00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240,76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133,26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MATERIJAL I ENERGIJU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223.407,93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237.780,00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213.614,55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95,62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89,84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UREDSKI MATERIJAL I OSTALI MATERIJALNI RASHODI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54.278,75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61550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50.313,79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92,70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81,74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3222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 I SIROVINE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3.436,50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4.063,44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118,24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104,46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3223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ENERGIJA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77.640,63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149640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131.334,81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169,16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87,77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3224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 I DIJELOVI ZA TEKUĆE I INVESTICIJSKO ODRŽAVANJE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54.238,11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10960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19.792,08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36,49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180,58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3225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SITNI INVENTAR I AUTO GUME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31.488,47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11640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8.110,43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25,76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69,68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3227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SLUŽBENA,RADNA I ZAŠTITNA ODJEĆA I OBUĆA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2.325,47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USLUGE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162.612,19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259.540,00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260.308,76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160,08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100,30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 TELEFONA, POŠTE I PRIJEVOZA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16.163,25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22420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19.627,96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121,44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87,55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 TEKUĆEG I INVESTICIJSKOG ODRŽAVANJA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71.641,17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152510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171.056,24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238,77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112,16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3233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 PROMIDŽBE I INFORMIRANJA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4.347,00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3234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KOMUNALNE USLUGE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19.547,63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18910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19.701,80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100,79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104,19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3236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ZDRAVSTVENE I VETERINARSKE USLUGE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14.455,00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14580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11.040,00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76,37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75,72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3238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RAČUNALNE USLUGE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24.768,75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22270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22.006,25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88,85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98,82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3239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 USLUGE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11.689,39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28850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16.876,51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144,37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58,50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 NESPOMENUTI RASHODI POSLOVANJA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11893,5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51780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40648,61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341,77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78,50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lastRenderedPageBreak/>
              <w:t>3291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 ZA RAD PREDSTAVNIČKIH I IZVRŠNIH TIJELA I SLIČNO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680,02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340,01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48,57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3294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ČLANARINE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1.000,00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1.300,00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76,47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3295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PRISTOJBE I NAKNADE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10.162,50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18.112,50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178,23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99,74</w:t>
            </w:r>
          </w:p>
        </w:tc>
      </w:tr>
      <w:tr w:rsidR="00AB678F" w:rsidRPr="00AB678F" w:rsidTr="00AB678F">
        <w:trPr>
          <w:trHeight w:val="96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TROŠKOVI SUDKIH POSTUPAKA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12943,75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59,10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3299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 NESPOMENUTI RASHODI POSLOVANJA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50,98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7.952,35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15598,96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85,33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FINANCIJSKI RASHODI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1.016,25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18615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12.224,53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1202,91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65,67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343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 FINANCIJSKI RASHODI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1.016,25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18615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12.224,53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1202,91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65,67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3431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BANKARSKE USLUGE I USLUGE PLATNOG PROMETA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1.016,25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2.111,16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207,74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154,10</w:t>
            </w:r>
          </w:p>
        </w:tc>
      </w:tr>
      <w:tr w:rsidR="00AB678F" w:rsidRPr="00AB678F" w:rsidTr="00AB678F">
        <w:trPr>
          <w:trHeight w:val="48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ZATEZNE KAMATE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17245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10113,37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58,65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 GRAĐANIMA I KUĆANSTVIMA NA TEMELJU OSIGURANJA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170.437,84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217500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184.718,74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108,38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84,93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372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OSTALE NAKNADE GRAĐANIMA I KUĆANSTVIMA IZ PRORAČUNA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170.437,84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217500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184.718,74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108,38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84,93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3722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 GRAĐANIMA I KUĆANSTVIMA U NARAVI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170.437,84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217500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184.718,74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108,38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84,93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56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UKUPNO 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5.354.599,91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6.052.335,00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5.934.714,90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110,83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98,06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NEFINANCIJSKE IMOVINE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290.125,68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113680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93.073,31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32,08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81,87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 ZA NABAVU PROIZVEDENE DUGOTRAJNE IMOVINE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290.125,68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113680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93.073,31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32,08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81,87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POSTROJENJA I OPREMA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154.841,00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24000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23.720,92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15,32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98,84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UREDSKA OPREMA I NAMJEŠTAJ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122.759,75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3.667,75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2,99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19,30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4223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OPREMA ZA ODRŽAVANJE I ZAŠTITU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24.543,75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92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4227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UREĐAJI, STROJEVI I OPREMA ZA OSTALE NAMJENE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7.537,50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20.053,17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266,05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401,06</w:t>
            </w:r>
          </w:p>
        </w:tc>
      </w:tr>
      <w:tr w:rsidR="00AB678F" w:rsidRPr="00AB678F" w:rsidTr="00AB678F">
        <w:trPr>
          <w:trHeight w:val="564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VIŠEGODIŠNJI NASADI I OSNOVNO STADO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135.284,68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89680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69.352,39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51,26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77,33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VIŠEGODIŠNJI NASADI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135.284,68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89680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78F" w:rsidRPr="00AB678F" w:rsidRDefault="00AB678F" w:rsidP="00AB678F">
            <w:pPr>
              <w:jc w:val="right"/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i/>
                <w:iCs/>
                <w:color w:val="000000"/>
                <w:sz w:val="18"/>
                <w:szCs w:val="18"/>
                <w:lang w:val="en-US" w:eastAsia="en-US"/>
              </w:rPr>
              <w:t>69.352,39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51,26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77,33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UKUPNO 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290.125,68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113.680,00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93.073,31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32,08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81,87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UKUPNO 3+4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5.644.725,59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6.166.015,00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6.027.788,21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106,79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97,76</w:t>
            </w:r>
          </w:p>
        </w:tc>
      </w:tr>
    </w:tbl>
    <w:p w:rsidR="00AB678F" w:rsidRDefault="00AB678F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Tablica 4.</w:t>
      </w: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Default="009D46E2" w:rsidP="00FC6440">
      <w:pPr>
        <w:jc w:val="both"/>
        <w:rPr>
          <w:noProof/>
          <w:lang w:val="en-US" w:eastAsia="en-US"/>
        </w:rPr>
      </w:pPr>
      <w:r w:rsidRPr="009D46E2">
        <w:rPr>
          <w:noProof/>
        </w:rPr>
        <w:drawing>
          <wp:inline distT="0" distB="0" distL="0" distR="0">
            <wp:extent cx="5722620" cy="76276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8F" w:rsidRDefault="009D46E2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Tablica 5.</w:t>
      </w:r>
    </w:p>
    <w:p w:rsidR="009D46E2" w:rsidRDefault="009D46E2" w:rsidP="00FC6440">
      <w:pPr>
        <w:jc w:val="both"/>
        <w:rPr>
          <w:noProof/>
          <w:lang w:val="en-US" w:eastAsia="en-US"/>
        </w:rPr>
      </w:pPr>
    </w:p>
    <w:p w:rsidR="009D46E2" w:rsidRDefault="009D46E2" w:rsidP="00FC6440">
      <w:pPr>
        <w:jc w:val="both"/>
        <w:rPr>
          <w:noProof/>
          <w:lang w:val="en-US" w:eastAsia="en-US"/>
        </w:rPr>
      </w:pPr>
    </w:p>
    <w:p w:rsidR="00296928" w:rsidRDefault="00296928" w:rsidP="00296928">
      <w:pPr>
        <w:tabs>
          <w:tab w:val="left" w:pos="3720"/>
        </w:tabs>
        <w:jc w:val="both"/>
        <w:rPr>
          <w:b/>
          <w:sz w:val="28"/>
          <w:szCs w:val="28"/>
        </w:rPr>
      </w:pPr>
      <w:r w:rsidRPr="0032246E">
        <w:rPr>
          <w:b/>
          <w:sz w:val="28"/>
          <w:szCs w:val="28"/>
        </w:rPr>
        <w:t>Analiza prihoda: planirano- realizirano</w:t>
      </w:r>
    </w:p>
    <w:p w:rsidR="00296928" w:rsidRDefault="00296928" w:rsidP="00296928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296928" w:rsidRDefault="00296928" w:rsidP="00296928">
      <w:pPr>
        <w:tabs>
          <w:tab w:val="left" w:pos="3720"/>
        </w:tabs>
        <w:jc w:val="both"/>
      </w:pPr>
      <w:r>
        <w:rPr>
          <w:b/>
        </w:rPr>
        <w:t>IZVOR 1.1.1.+</w:t>
      </w:r>
      <w:r w:rsidRPr="00921F67">
        <w:rPr>
          <w:b/>
        </w:rPr>
        <w:t>1.2.1. – GRAD</w:t>
      </w:r>
      <w:r>
        <w:t xml:space="preserve"> - Iz  tabele 5.je vidljivo da su nam se izvršeni  prihodi od Grada za 2022. nisu razlikovali od izvršenja 2021.godine</w:t>
      </w:r>
      <w:r w:rsidR="008E6A37">
        <w:t xml:space="preserve">. Također je vidljivo da je kod većine prihoda po izvorima financiranja vidljivo da je potrošeno manje od planiranog za 2022. </w:t>
      </w:r>
      <w:proofErr w:type="spellStart"/>
      <w:r w:rsidR="008E6A37">
        <w:t>god.,tako</w:t>
      </w:r>
      <w:proofErr w:type="spellEnd"/>
      <w:r w:rsidR="008E6A37">
        <w:t xml:space="preserve"> je 2022.je izvršeno 4% manje prihoda u odnosu na izvorni plan 2022.</w:t>
      </w:r>
    </w:p>
    <w:p w:rsidR="00296928" w:rsidRDefault="00296928" w:rsidP="00296928">
      <w:pPr>
        <w:tabs>
          <w:tab w:val="left" w:pos="3720"/>
        </w:tabs>
        <w:jc w:val="both"/>
      </w:pPr>
    </w:p>
    <w:p w:rsidR="00296928" w:rsidRPr="00921F67" w:rsidRDefault="00296928" w:rsidP="00296928">
      <w:pPr>
        <w:tabs>
          <w:tab w:val="left" w:pos="3720"/>
        </w:tabs>
        <w:jc w:val="both"/>
        <w:rPr>
          <w:b/>
        </w:rPr>
      </w:pPr>
    </w:p>
    <w:p w:rsidR="00296928" w:rsidRDefault="00296928" w:rsidP="00296928">
      <w:pPr>
        <w:tabs>
          <w:tab w:val="left" w:pos="3720"/>
        </w:tabs>
        <w:jc w:val="both"/>
      </w:pPr>
      <w:r w:rsidRPr="00921F67">
        <w:rPr>
          <w:b/>
        </w:rPr>
        <w:t>IZVOR 5.3.1. MZO</w:t>
      </w:r>
      <w:r>
        <w:t xml:space="preserve"> </w:t>
      </w:r>
      <w:r w:rsidR="008E6A37">
        <w:t>–</w:t>
      </w:r>
      <w:r>
        <w:t xml:space="preserve"> Prihodi</w:t>
      </w:r>
      <w:r w:rsidR="008E6A37">
        <w:t xml:space="preserve"> 2022.</w:t>
      </w:r>
      <w:r>
        <w:t xml:space="preserve"> od MZO-a su se po</w:t>
      </w:r>
      <w:r w:rsidR="008E6A37">
        <w:t>većali u odnosu na 2021.god. za 7 %, a razlozi koji su doveli do toga su: povećanje osnovice plaće, povećanje božićnice, dara djeci, pomoć za Ukrajinske učenika za kupnju školskog pribora itd. U odnosu na plan izvršeno je 2% manje. Također imamo manjak prihoda u iznosu od 1863,00 kn, a odnosi se na udžbenike i sudske pristojbe koje će MZO platiti u 2023.god.</w:t>
      </w:r>
    </w:p>
    <w:p w:rsidR="00296928" w:rsidRDefault="00296928" w:rsidP="00296928">
      <w:pPr>
        <w:tabs>
          <w:tab w:val="left" w:pos="3720"/>
        </w:tabs>
        <w:jc w:val="both"/>
      </w:pPr>
    </w:p>
    <w:p w:rsidR="00296928" w:rsidRDefault="00296928" w:rsidP="00296928">
      <w:pPr>
        <w:tabs>
          <w:tab w:val="left" w:pos="3720"/>
        </w:tabs>
        <w:jc w:val="both"/>
      </w:pPr>
    </w:p>
    <w:p w:rsidR="00296928" w:rsidRDefault="00296928" w:rsidP="00296928">
      <w:pPr>
        <w:tabs>
          <w:tab w:val="left" w:pos="3720"/>
        </w:tabs>
        <w:jc w:val="both"/>
      </w:pPr>
      <w:r w:rsidRPr="00921F67">
        <w:rPr>
          <w:b/>
        </w:rPr>
        <w:t>IZVOR 3.1.1.- VLASTITI</w:t>
      </w:r>
      <w:r>
        <w:t xml:space="preserve"> -Vlastiti prih</w:t>
      </w:r>
      <w:r w:rsidR="00F62E01">
        <w:t>odi su nam se u odnosu na 2021. smanjili za 54%, ali su se u odnosu na izvorni plan povećali za 12%, a razlog tome je prodaja starog željeza. Na ovoj poziciji imamo višak od 2285,00 kn</w:t>
      </w:r>
    </w:p>
    <w:p w:rsidR="00296928" w:rsidRDefault="00296928" w:rsidP="00296928">
      <w:pPr>
        <w:tabs>
          <w:tab w:val="left" w:pos="3720"/>
        </w:tabs>
        <w:jc w:val="both"/>
      </w:pPr>
    </w:p>
    <w:p w:rsidR="00296928" w:rsidRDefault="00296928" w:rsidP="00296928">
      <w:pPr>
        <w:tabs>
          <w:tab w:val="left" w:pos="3720"/>
        </w:tabs>
        <w:jc w:val="both"/>
      </w:pPr>
      <w:r w:rsidRPr="00282922">
        <w:rPr>
          <w:b/>
        </w:rPr>
        <w:t>IZVOR 6.1.1. DONACIJE</w:t>
      </w:r>
      <w:r>
        <w:t xml:space="preserve"> - Donacije </w:t>
      </w:r>
      <w:r w:rsidR="00181AAF">
        <w:t xml:space="preserve">2022.su se ostvarile </w:t>
      </w:r>
      <w:r w:rsidR="00F62E01">
        <w:t xml:space="preserve"> za 50% u odnosu na izvorni</w:t>
      </w:r>
      <w:r>
        <w:t xml:space="preserve"> plan.</w:t>
      </w:r>
    </w:p>
    <w:p w:rsidR="00296928" w:rsidRPr="00A4276D" w:rsidRDefault="00296928" w:rsidP="00296928">
      <w:pPr>
        <w:tabs>
          <w:tab w:val="left" w:pos="3720"/>
        </w:tabs>
        <w:jc w:val="both"/>
      </w:pPr>
    </w:p>
    <w:p w:rsidR="00296928" w:rsidRPr="00282922" w:rsidRDefault="00296928" w:rsidP="00296928">
      <w:pPr>
        <w:tabs>
          <w:tab w:val="left" w:pos="3720"/>
        </w:tabs>
        <w:jc w:val="both"/>
        <w:rPr>
          <w:b/>
        </w:rPr>
      </w:pPr>
    </w:p>
    <w:p w:rsidR="00296928" w:rsidRDefault="00296928" w:rsidP="00296928">
      <w:pPr>
        <w:tabs>
          <w:tab w:val="left" w:pos="3720"/>
        </w:tabs>
        <w:jc w:val="both"/>
      </w:pPr>
      <w:r w:rsidRPr="00282922">
        <w:rPr>
          <w:b/>
        </w:rPr>
        <w:t>IZVOR 4.3.1. PRIHODI ZA POSEBNE NAMJENE</w:t>
      </w:r>
      <w:r>
        <w:t xml:space="preserve"> -</w:t>
      </w:r>
      <w:r w:rsidR="00F62E01">
        <w:t>Prihodi za posebne namjene 2022. su nam se povećali za 525%  u odnosu na izvršenje 2021</w:t>
      </w:r>
      <w:r w:rsidR="00181AAF">
        <w:t xml:space="preserve">., a u odnosu na izvorni plan smanjene su za 31%. Do povećanja u odnosu na 2021.godinu je došlo zbog uplate Centra izvrsnosti za Dalmatinski suvenir, prijevoza učenika na školski izlet, uplata roditelja za osiguranje </w:t>
      </w:r>
      <w:proofErr w:type="spellStart"/>
      <w:r w:rsidR="00181AAF">
        <w:t>učenika.Tu</w:t>
      </w:r>
      <w:proofErr w:type="spellEnd"/>
      <w:r w:rsidR="00181AAF">
        <w:t xml:space="preserve"> je ostvaren višak u iznosu od 4714,00 kn.</w:t>
      </w:r>
    </w:p>
    <w:p w:rsidR="00296928" w:rsidRDefault="00296928" w:rsidP="00296928">
      <w:pPr>
        <w:tabs>
          <w:tab w:val="left" w:pos="3720"/>
        </w:tabs>
        <w:jc w:val="both"/>
      </w:pPr>
    </w:p>
    <w:p w:rsidR="00296928" w:rsidRDefault="00296928" w:rsidP="00296928">
      <w:pPr>
        <w:tabs>
          <w:tab w:val="left" w:pos="3720"/>
        </w:tabs>
        <w:jc w:val="both"/>
      </w:pPr>
    </w:p>
    <w:p w:rsidR="00296928" w:rsidRDefault="00296928" w:rsidP="00296928">
      <w:pPr>
        <w:tabs>
          <w:tab w:val="left" w:pos="3720"/>
        </w:tabs>
        <w:jc w:val="both"/>
      </w:pPr>
      <w:r w:rsidRPr="00282922">
        <w:rPr>
          <w:b/>
        </w:rPr>
        <w:t>IZVOR 5.4.1. ŽUPANIJA</w:t>
      </w:r>
      <w:r>
        <w:t xml:space="preserve"> - Prihodi od Županije </w:t>
      </w:r>
      <w:r w:rsidR="00181AAF">
        <w:t>su u odnosu na 2021. narasli za 685%, a u odnosu na izvorni plan smanjeni su za 17 %. Razlog povećanja je uplata Županije za projekt Čuvari baštine.</w:t>
      </w:r>
    </w:p>
    <w:p w:rsidR="00296928" w:rsidRDefault="00296928" w:rsidP="00296928">
      <w:pPr>
        <w:tabs>
          <w:tab w:val="left" w:pos="3720"/>
        </w:tabs>
        <w:jc w:val="both"/>
      </w:pPr>
    </w:p>
    <w:p w:rsidR="00296928" w:rsidRDefault="00296928" w:rsidP="00296928">
      <w:pPr>
        <w:tabs>
          <w:tab w:val="left" w:pos="3720"/>
        </w:tabs>
        <w:jc w:val="both"/>
      </w:pPr>
      <w:r>
        <w:t xml:space="preserve">U 2022.g imamo višak od Županije u iznosu od </w:t>
      </w:r>
      <w:r>
        <w:tab/>
      </w:r>
      <w:r w:rsidRPr="009D303B">
        <w:rPr>
          <w:b/>
        </w:rPr>
        <w:t>2.137,</w:t>
      </w:r>
      <w:r w:rsidR="002018D9">
        <w:rPr>
          <w:b/>
        </w:rPr>
        <w:t>00 kn</w:t>
      </w:r>
      <w:r>
        <w:t xml:space="preserve"> ( ostalo od projekta ČUVARI BAŠTINE).</w:t>
      </w:r>
    </w:p>
    <w:p w:rsidR="009D46E2" w:rsidRDefault="009D46E2" w:rsidP="00FC6440">
      <w:pPr>
        <w:jc w:val="both"/>
        <w:rPr>
          <w:noProof/>
          <w:lang w:val="en-US" w:eastAsia="en-US"/>
        </w:rPr>
      </w:pPr>
    </w:p>
    <w:p w:rsidR="009D46E2" w:rsidRDefault="009D46E2" w:rsidP="00FC6440">
      <w:pPr>
        <w:jc w:val="both"/>
        <w:rPr>
          <w:noProof/>
          <w:lang w:val="en-US" w:eastAsia="en-US"/>
        </w:rPr>
      </w:pPr>
    </w:p>
    <w:p w:rsidR="009D46E2" w:rsidRDefault="00181AAF" w:rsidP="00FC6440">
      <w:pPr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t>Kad pogledamo ukupne prihode od svih izvora, vidimo da su u odnosu na 2021. povećani za 7%, a u odnosu na izvorni plan su manji za 2%.</w:t>
      </w: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AB678F" w:rsidRPr="000A5D70" w:rsidRDefault="000A5D70" w:rsidP="000A5D70">
      <w:pPr>
        <w:jc w:val="center"/>
        <w:rPr>
          <w:b/>
          <w:noProof/>
          <w:lang w:val="en-US" w:eastAsia="en-US"/>
        </w:rPr>
      </w:pPr>
      <w:r w:rsidRPr="000A5D70">
        <w:rPr>
          <w:b/>
          <w:noProof/>
          <w:lang w:val="en-US" w:eastAsia="en-US"/>
        </w:rPr>
        <w:t>POSEBNI DIO</w:t>
      </w:r>
    </w:p>
    <w:p w:rsidR="00AB678F" w:rsidRDefault="00AB678F" w:rsidP="00FC6440">
      <w:pPr>
        <w:jc w:val="both"/>
        <w:rPr>
          <w:noProof/>
          <w:lang w:val="en-US" w:eastAsia="en-US"/>
        </w:rPr>
      </w:pPr>
    </w:p>
    <w:p w:rsidR="00706714" w:rsidRDefault="00706714" w:rsidP="00FC6440">
      <w:pPr>
        <w:jc w:val="both"/>
        <w:rPr>
          <w:noProof/>
          <w:lang w:val="en-US" w:eastAsia="en-US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487"/>
        <w:gridCol w:w="1371"/>
        <w:gridCol w:w="1274"/>
        <w:gridCol w:w="588"/>
        <w:gridCol w:w="795"/>
        <w:gridCol w:w="1274"/>
        <w:gridCol w:w="892"/>
        <w:gridCol w:w="775"/>
      </w:tblGrid>
      <w:tr w:rsidR="00AB678F" w:rsidRPr="00AB678F" w:rsidTr="00AB678F">
        <w:trPr>
          <w:trHeight w:val="420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32"/>
                <w:szCs w:val="32"/>
                <w:lang w:val="en-US" w:eastAsia="en-US"/>
              </w:rPr>
              <w:t>RASHODI I IZDACI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32"/>
                <w:szCs w:val="32"/>
                <w:lang w:val="en-US" w:eastAsia="en-US"/>
              </w:rPr>
            </w:pPr>
            <w:r w:rsidRPr="00AB678F">
              <w:rPr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32"/>
                <w:szCs w:val="32"/>
                <w:lang w:val="en-US" w:eastAsia="en-US"/>
              </w:rPr>
            </w:pPr>
            <w:r w:rsidRPr="00AB678F">
              <w:rPr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32"/>
                <w:szCs w:val="32"/>
                <w:lang w:val="en-US" w:eastAsia="en-US"/>
              </w:rPr>
            </w:pPr>
            <w:r w:rsidRPr="00AB678F">
              <w:rPr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32"/>
                <w:szCs w:val="32"/>
                <w:lang w:val="en-US" w:eastAsia="en-US"/>
              </w:rPr>
            </w:pPr>
            <w:r w:rsidRPr="00AB678F">
              <w:rPr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32"/>
                <w:szCs w:val="32"/>
                <w:lang w:val="en-US" w:eastAsia="en-US"/>
              </w:rPr>
            </w:pPr>
            <w:r w:rsidRPr="00AB678F">
              <w:rPr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32"/>
                <w:szCs w:val="32"/>
                <w:lang w:val="en-US" w:eastAsia="en-US"/>
              </w:rPr>
            </w:pPr>
            <w:r w:rsidRPr="00AB678F">
              <w:rPr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92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3200 DECENTRALIZIRANE FUNKCIJE - MINIMALNI FINANCIJSKI STANDARD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504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A320001 REDOVNA PROGRAMSKA DJELATNOST OSNOVNIH ŠKOLA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46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1.2.1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ZA DECENTRALIZIRANE FUNKCIJE-PK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8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IZVRŠENJE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IZVORNI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IZVRŠENJE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349454,15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351770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353999,55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101,30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100,63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zaposlenima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3873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38480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29842,29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770,52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77,55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Službena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putovanja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1874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30.360,00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22.373,29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1193,88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73,69</w:t>
            </w:r>
          </w:p>
        </w:tc>
      </w:tr>
      <w:tr w:rsidR="00AB678F" w:rsidRPr="00AB678F" w:rsidTr="00AB678F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Stručno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usavršavanje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1285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6.830,00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5.750,00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447,47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84,19</w:t>
            </w:r>
          </w:p>
        </w:tc>
      </w:tr>
      <w:tr w:rsidR="00AB678F" w:rsidRPr="00AB678F" w:rsidTr="00AB678F">
        <w:trPr>
          <w:trHeight w:val="96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zaposlenika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714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1.290,00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240,76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133,26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mat.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218369,23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216570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204952,2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93,86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94,64</w:t>
            </w:r>
          </w:p>
        </w:tc>
      </w:tr>
      <w:tr w:rsidR="00AB678F" w:rsidRPr="00AB678F" w:rsidTr="00AB678F">
        <w:trPr>
          <w:trHeight w:val="12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Uredski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49240,05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45.580,00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42.864,17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87,05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94,04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sirovine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3436,5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3.890,00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4.063,44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118,24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104,46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Energija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77640,63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149.640,00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131.334,81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169,16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87,77</w:t>
            </w:r>
          </w:p>
        </w:tc>
      </w:tr>
      <w:tr w:rsidR="00AB678F" w:rsidRPr="00AB678F" w:rsidTr="00AB678F">
        <w:trPr>
          <w:trHeight w:val="12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dijelovi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tekuće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investicijsko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održavanje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54238,11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9.720,00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19.179,35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35,36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197,32</w:t>
            </w:r>
          </w:p>
        </w:tc>
      </w:tr>
      <w:tr w:rsidR="00AB678F" w:rsidRPr="00AB678F" w:rsidTr="00AB678F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Sitni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inventar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auto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gume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31488,47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7.640,00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7.510,43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23,85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98,30</w:t>
            </w:r>
          </w:p>
        </w:tc>
      </w:tr>
      <w:tr w:rsidR="00AB678F" w:rsidRPr="00AB678F" w:rsidTr="00AB678F">
        <w:trPr>
          <w:trHeight w:val="12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Službena,radna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zaštitna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odjeća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obuća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2325,47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126160,94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93700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116792,71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92,57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124,65</w:t>
            </w:r>
          </w:p>
        </w:tc>
      </w:tr>
      <w:tr w:rsidR="00AB678F" w:rsidRPr="00AB678F" w:rsidTr="00AB678F">
        <w:trPr>
          <w:trHeight w:val="96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telefona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pošte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prijevoza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13363,25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12.220,00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14.027,96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104,97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114,80</w:t>
            </w:r>
          </w:p>
        </w:tc>
      </w:tr>
      <w:tr w:rsidR="00AB678F" w:rsidRPr="00AB678F" w:rsidTr="00AB678F">
        <w:trPr>
          <w:trHeight w:val="12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tekućeg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investicijskog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održavanja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53516,17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33.450,00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52.472,94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156,87</w:t>
            </w:r>
          </w:p>
        </w:tc>
      </w:tr>
      <w:tr w:rsidR="00AB678F" w:rsidRPr="00AB678F" w:rsidTr="00AB678F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promidžbe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informiranja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4347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Komunalne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19547,63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18.910,00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19.701,80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104,19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Zdravstvene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7835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7.500,00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7.500,00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95,72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AB678F" w:rsidRPr="00AB678F" w:rsidTr="00AB678F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Intelektualne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osobne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Računalne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15862,5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12.270,00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12.162,50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76,67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99,12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11689,39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9.350,00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10.927,51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93,48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116,87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91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1050,98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3020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rFonts w:ascii="Calibri" w:hAnsi="Calibri" w:cs="Calibri"/>
                <w:color w:val="000000"/>
                <w:sz w:val="18"/>
                <w:szCs w:val="18"/>
                <w:lang w:val="en-US" w:eastAsia="en-US"/>
              </w:rPr>
              <w:t>2412,35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229,53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79,88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Tuzemne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članarine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76,47</w:t>
            </w:r>
          </w:p>
        </w:tc>
      </w:tr>
      <w:tr w:rsidR="00AB678F" w:rsidRPr="00AB678F" w:rsidTr="00AB678F">
        <w:trPr>
          <w:trHeight w:val="96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6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50,98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1.320,00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1112,35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2181,93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84,27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Financijski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2111,16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207,74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154,10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financijski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2111,16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207,74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154,10</w:t>
            </w:r>
          </w:p>
        </w:tc>
      </w:tr>
      <w:tr w:rsidR="00AB678F" w:rsidRPr="00AB678F" w:rsidTr="00AB678F">
        <w:trPr>
          <w:trHeight w:val="120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Bankarske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platnog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prometa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1.370,00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2.111,16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207,74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154,10</w:t>
            </w:r>
          </w:p>
        </w:tc>
      </w:tr>
      <w:tr w:rsidR="00AB678F" w:rsidRPr="00AB678F" w:rsidTr="00AB678F">
        <w:trPr>
          <w:trHeight w:val="96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financ.rashodi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Grad -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Opći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350470,4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353140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356110,71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101,61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100,84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A320104 SUSTAV VIDEO NADZORA ŠKOLA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13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nabavu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proizvedene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dugotrajne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imovine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24543,75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Postrojenja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24543,75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održavanje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zaštitu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24543,75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A320104 NABAVKA UDŽBENIKA I PRIBORA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207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građanima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kućanstvima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temelju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osiguranja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druge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131607,81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117622,52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89,37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87,13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proračuna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naravi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131607,81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117622,52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89,37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87,13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proračuna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naravi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131607,81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117622,52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89,37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87,13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3200 DECENTRALIZIRANE FUNKCIJE - MINIMALNI FINANCIJSKI STANDARD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A320002 REDOVNO ODRŽAVANJE OBJEKATA OSNOVNIH ŠKOLA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1.2.1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ZA DECENTRALIZIRANE FUNKCIJE-PK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16256,25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118060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118062,5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726,26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mat.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Mat.i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dijel.za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tek.i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inv.održ.građ.objekata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Sitni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inventar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16256,25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118060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118062,5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726,26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tek.i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inv.održ.građ.objekata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16256,25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118060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118062,5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726,26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6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3200 DECENTRALIZIRANE FUNKCIJE - MINIMALNI FINANCIJSKI STANDARD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516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Kapitalni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projekt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K320001 KAPITALNA ULAGANJA U OPREMU - DECENTRALIZIRANA SREDSTVA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1.2.1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ZA DECENTRALIZIRANE FUNKCIJE-PK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nabavu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proizvedene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dug.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Imovine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23978,5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23720,92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98,84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Postrojenja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23978,5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23720,92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98,84</w:t>
            </w:r>
          </w:p>
        </w:tc>
      </w:tr>
      <w:tr w:rsidR="00AB678F" w:rsidRPr="00AB678F" w:rsidTr="00AB678F">
        <w:trPr>
          <w:trHeight w:val="121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Računala,računalna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uredski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namještaj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16441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3667,75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22,31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19,30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7537,5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20053,17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266,05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401,06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Izvori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financiranja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: </w:t>
            </w:r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 xml:space="preserve">Grad Split - </w:t>
            </w:r>
            <w:proofErr w:type="spellStart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Kapitalna</w:t>
            </w:r>
            <w:proofErr w:type="spellEnd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ulaganja</w:t>
            </w:r>
            <w:proofErr w:type="spellEnd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objekte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Račun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rashoda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izdatka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Naziv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računa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Izvorni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plan 2022.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Tekući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Rashod</w:t>
            </w:r>
            <w:proofErr w:type="spellEnd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>dodatna</w:t>
            </w:r>
            <w:proofErr w:type="spellEnd"/>
            <w:r w:rsidRPr="00AB678F">
              <w:rPr>
                <w:b/>
                <w:bCs/>
                <w:sz w:val="18"/>
                <w:szCs w:val="18"/>
                <w:lang w:val="en-US" w:eastAsia="en-US"/>
              </w:rPr>
              <w:t xml:space="preserve"> ulag.na nefin.im.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Dodatna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ulaganja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građ.objektima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4511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Dodatna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ulaganja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građ.objektima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A320102 IZVANNASTAVNE I IZVANŠKOLSKE AKTIVNOSTI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4998,7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4997,76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99,96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mat.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4998,7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4997,76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99,96</w:t>
            </w:r>
          </w:p>
        </w:tc>
      </w:tr>
      <w:tr w:rsidR="00AB678F" w:rsidRPr="00AB678F" w:rsidTr="00AB678F">
        <w:trPr>
          <w:trHeight w:val="121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mat.za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porebe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red.posl.KMT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4998,7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4997,76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99,96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mat.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19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hig.potrebe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njegu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-HITNE INTERVENCIJE-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maske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djelatnike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07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građanima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kućanstvima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temelju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osiguranja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druge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iz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proračuna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naravi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145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proračuna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naravi-maske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učenike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A320106 DIOKLECIJANOVA ŠKRINJICA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komunikaciju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prijevoz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A320105 PROMETNI ODGOJ I SIGURNOST U PROMETU - POLIGON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93,33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93,33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komunikaciju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prijevoz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93,33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A320108 MALA SPLITSKA DEBATA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54,17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zaposlenima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54,17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Stručno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usavršavanje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zaposlenika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54,17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Tekući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projekt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T320105 EU PROJEKT "S POMOĆNIKOM MOGU BOLJE 5"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zaposlene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31440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31703,79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100,84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Plaće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bruto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21840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24209,26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110,85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Plaće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redovan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rad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21840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24209,26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110,85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zaposlene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58,33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zaposlene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3500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58,33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Doprinosi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plaće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3994,53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110,96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Doprinosi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obv.zdr.osig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3994,53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110,96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1480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966,53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65,31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zaposlenima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966,53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89,49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Službena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putovanja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prijevoz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posao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s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posla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966,53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89,49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A320111 HITNE INTERVENCIJE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520,8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520,8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121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tekućeg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investicijskokg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održavanja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520,8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A320112 UREĐENJE OKOLIŠA ŠKOLA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3105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20,70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20,70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Uređenje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prostora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15000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20,70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lastRenderedPageBreak/>
              <w:t>Program 3201 ŠIRE JAVNE POTREBE-IZNAD MINIMALNOG STANDARDA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A320113 PROJEKT E ŠKOLE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8906,25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9843,75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110,53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98,44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8906,25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9843,75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110,53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98,44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računalne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8906,25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9843,75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110,53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98,44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3202 KAPITALNA ULAGANJA NA OBJEKTIMA OŠ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Kapitalni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projekt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K320201 KUPNJA OPREME ZA OSNOVNE ŠKOLE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nabavu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proizvedene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dug.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Imovine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106318,75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Postrojenja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106318,75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Uredski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namještaj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106318,75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grijanje,ventilaciju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hlađenje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Sportska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finan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.(1.1.1.): </w:t>
            </w: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Grad Split -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Kapitalna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ulag.u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OŠ -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opremanje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pametnih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učionica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izdatka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Naziv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nabavu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proizvedene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dug.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Imovine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Postrojenja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Oprema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3202 KAPITALNA ULAGANJA NA OBJEKTIMA OŠ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Kapitalni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projekt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K320250 NABAVKA ŠKOLSKE LEKTIRE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1.1.1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PRIHODI OD GRADA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nabavu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proizvedene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dug.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Imovine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4789,61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umjetnička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djela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ost.izlož.vrijednosti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4789,61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4789,61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Split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674670,02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705720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675229,28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95,68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Program 3203 RASHODI ZA ZAPOSLENE U OŠ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A320301 RASHODI ZA ZAPOSLENE U OŠ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5.3.1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POMOĆI IZ DRŽAVNOG PRORAČUNA-PK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zaposlene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4677944,71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5074070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5049450,7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107,94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99,51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Plaće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bruto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3874517,15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4201500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4172672,45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107,70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99,31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Plaće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redovan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rad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3874517,15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4161900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4147812,2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107,05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99,66</w:t>
            </w:r>
          </w:p>
        </w:tc>
      </w:tr>
      <w:tr w:rsidR="00AB678F" w:rsidRPr="00AB678F" w:rsidTr="00AB678F">
        <w:trPr>
          <w:trHeight w:val="145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Plaće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redovan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rad-PO SUDSKIM PRESUDAMA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39600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24860,25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62,78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zaposlene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162221,69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194020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185353,75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114,26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95,53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zaposlene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162221,69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194020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185353,75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114,26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95,53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Doprinosi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plaće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641205,87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678550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691424,5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107,83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101,90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Doprinosi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obv.zdr.osig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641205,87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671660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687148,49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107,17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102,31</w:t>
            </w:r>
          </w:p>
        </w:tc>
      </w:tr>
      <w:tr w:rsidR="00AB678F" w:rsidRPr="00AB678F" w:rsidTr="00AB678F">
        <w:trPr>
          <w:trHeight w:val="145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Doprinosi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obv.zdr.osig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.-PO SUDSKIM PRESUDAMA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3729,08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62,15</w:t>
            </w:r>
          </w:p>
        </w:tc>
      </w:tr>
      <w:tr w:rsidR="00AB678F" w:rsidRPr="00AB678F" w:rsidTr="00AB678F">
        <w:trPr>
          <w:trHeight w:val="16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Doprinosi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obv.zdr.osig.zaštite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radu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-PO SUDSKIM PRESUDAMA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124,28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59,18</w:t>
            </w:r>
          </w:p>
        </w:tc>
      </w:tr>
      <w:tr w:rsidR="00AB678F" w:rsidRPr="00AB678F" w:rsidTr="00AB678F">
        <w:trPr>
          <w:trHeight w:val="19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Doprinosi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obv.osig.u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slučaju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nezaposlenosti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-PO SUDSKIM PRESUDAMA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422,65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62,15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118906,99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166990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144857,65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121,82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86,75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zaposlenima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102124,49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119850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110261,4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107,97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92,00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prijevoz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posao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s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posla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102124,49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119850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110261,4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107,97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92,00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121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potrebe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redovnog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6620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53,47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Zdravstvene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veterinarske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6620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7080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3540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53,47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10162,5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40060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31056,25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305,60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77,52</w:t>
            </w:r>
          </w:p>
        </w:tc>
      </w:tr>
      <w:tr w:rsidR="00AB678F" w:rsidRPr="00AB678F" w:rsidTr="00AB678F">
        <w:trPr>
          <w:trHeight w:val="145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Novčana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zbog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nezapošljavanja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osoba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s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invaliditetom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10162,5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11162,5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109,84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100,02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Sudske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pristojbe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99,29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sudskih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postupaka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21900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12943,75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59,10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Financijski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17200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10112,94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58,80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financijski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10112,94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58,80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Zatezne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kamate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10112,94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58,80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A320104 NABAVKA UDŽBENIKA I PRIBORA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bottom"/>
            <w:hideMark/>
          </w:tcPr>
          <w:p w:rsidR="00AB678F" w:rsidRPr="00AB678F" w:rsidRDefault="00AB678F" w:rsidP="00AB678F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B678F">
              <w:rPr>
                <w:rFonts w:ascii="Calibri" w:hAnsi="Calibri" w:cs="Calibri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13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građanima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kućanstvima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naravi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38830,03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82500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67096,22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172,79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81,33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građanima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kućanstvima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naravi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38830,03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82500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67096,22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172,79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81,33</w:t>
            </w:r>
          </w:p>
        </w:tc>
      </w:tr>
      <w:tr w:rsidR="00AB678F" w:rsidRPr="00AB678F" w:rsidTr="00AB678F">
        <w:trPr>
          <w:trHeight w:val="166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građanima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kućanstvima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naravi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-</w:t>
            </w: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RADNI UDŽBENICI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38830,03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82500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64085,03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165,04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77,68</w:t>
            </w:r>
          </w:p>
        </w:tc>
      </w:tr>
      <w:tr w:rsidR="00AB678F" w:rsidRPr="00AB678F" w:rsidTr="00AB678F">
        <w:trPr>
          <w:trHeight w:val="212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građanima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kućanstvima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naravi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-</w:t>
            </w: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POMOĆ UKRAJINSKIM UČENICIMA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3011,19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 w:eastAsia="en-US"/>
              </w:rPr>
            </w:pPr>
            <w:r w:rsidRPr="00AB678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proofErr w:type="gram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5.3.1</w:t>
            </w:r>
            <w:proofErr w:type="gram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 POMOĆI IZ DRŽAVNOG PRORAČUNA-PK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Kapitalni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projekt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K320250 NABAVKA ŠKOLSKE LEKTIRE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hideMark/>
          </w:tcPr>
          <w:p w:rsidR="00AB678F" w:rsidRPr="00AB678F" w:rsidRDefault="00AB678F" w:rsidP="00AB678F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Aktivnost</w:t>
            </w:r>
            <w:proofErr w:type="spellEnd"/>
            <w:r w:rsidRPr="00AB678F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A320104 NABAVKA UDŽBENIKA I PRIBORA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13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nabavu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proizvedene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dugotr.imovine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130473,03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84500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64362,39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76,17</w:t>
            </w:r>
          </w:p>
        </w:tc>
      </w:tr>
      <w:tr w:rsidR="00AB678F" w:rsidRPr="00AB678F" w:rsidTr="00AB678F">
        <w:trPr>
          <w:trHeight w:val="13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umjetnička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djela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izložbene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vrijednosti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130473,03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84500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64362,39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76,17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-</w:t>
            </w: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lektira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-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udžbenici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127473,03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84500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61362,39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48,14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72,62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MZO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4966154,8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5425260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5335879,9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107,44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98,35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financiranja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(3.1.1.): VLASTITI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izdatka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Naziv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zaposlenima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Uredski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ost.mat.RH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(3.1.1.)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. I invest. Održavanja-4.3.1.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13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osobama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izvan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radnog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odnosa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145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osobama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izvan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radnog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odnosa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0,01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članovima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povjerenstava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sudskih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postupaka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Financijski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0,43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0,96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fin.rashodi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0,43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0,96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Zatezne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kamate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0,43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0,96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Financijski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financijski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zatezne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kamate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Vlastiti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troškovi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izdatka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Naziv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IZVORNI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nabavu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proizvedene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dug.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Imovine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22,04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lastRenderedPageBreak/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umjetnička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djela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ost.izlož.vrijednosti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22,04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22,04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VLASTITI IZVORI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62,04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2045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0,44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0,02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financiranja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: ŽUPANIJA (5.4.1.)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izdatka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Naziv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IZVORNI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6440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3202,73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470,99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49,73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mat.i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ener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612,73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49,41</w:t>
            </w:r>
          </w:p>
        </w:tc>
      </w:tr>
      <w:tr w:rsidR="00AB678F" w:rsidRPr="00AB678F" w:rsidTr="00AB678F">
        <w:trPr>
          <w:trHeight w:val="121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Mater.idj.za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tek.i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inv.održ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.-ČUVARI BAŠTINE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612,73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49,41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- ČUVARI BAŠTINE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2250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48,57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članovima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povjerenstava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48,57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UKUPNO ŽUPANIJA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680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6440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3202,73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470,99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49,73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Izvor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financiranja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6.1.1. 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Donacije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izdatka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Naziv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IZVORNI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nabavu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proizvedene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dug.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Imovine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</w:tr>
      <w:tr w:rsidR="00AB678F" w:rsidRPr="00AB678F" w:rsidTr="00AB678F">
        <w:trPr>
          <w:trHeight w:val="1164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umjetnička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djela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ost.izlož.vrijednosti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Knjige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donacije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Izvor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8"/>
                <w:szCs w:val="18"/>
                <w:lang w:val="en-US" w:eastAsia="en-US"/>
              </w:rPr>
              <w:t>financiranja</w:t>
            </w:r>
            <w:proofErr w:type="spellEnd"/>
            <w:r w:rsidRPr="00AB678F">
              <w:rPr>
                <w:sz w:val="18"/>
                <w:szCs w:val="18"/>
                <w:lang w:val="en-US" w:eastAsia="en-US"/>
              </w:rPr>
              <w:t xml:space="preserve"> 4.3.1.  -PROGRAM 3201A-ŠIRE JAVNE POTR.-PRIHODI ZA POSEBNE NAMJENE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izdatka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Naziv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IZVORNI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3158,77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324,18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77,58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Naknade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troškova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zaposlenima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Stručno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usavršavanje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zaposlenika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mat. I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Uredski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ost.mat.RH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prijevoz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učenika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1868,75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149,83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66,67</w:t>
            </w:r>
          </w:p>
        </w:tc>
      </w:tr>
      <w:tr w:rsidR="00AB678F" w:rsidRPr="00AB678F" w:rsidTr="00AB678F">
        <w:trPr>
          <w:trHeight w:val="121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telefona,pošte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prijevoza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UČENIKA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2800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66,67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. I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inv.održavanja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1868,75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936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RH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34200000,00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85,50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 NESP.RH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16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nespomenuti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RH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poslovanja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- OSIGURANJE UČENIKA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6840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85,50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mat. I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60,00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Sitan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inventar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3158,77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13200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324,18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77,58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6"/>
                <w:szCs w:val="16"/>
                <w:lang w:val="en-US" w:eastAsia="en-US"/>
              </w:rPr>
            </w:pPr>
            <w:proofErr w:type="spellStart"/>
            <w:r w:rsidRPr="00AB678F">
              <w:rPr>
                <w:sz w:val="16"/>
                <w:szCs w:val="16"/>
                <w:lang w:val="en-US" w:eastAsia="en-US"/>
              </w:rPr>
              <w:lastRenderedPageBreak/>
              <w:t>Izvor</w:t>
            </w:r>
            <w:proofErr w:type="spellEnd"/>
            <w:r w:rsidRPr="00AB678F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B678F">
              <w:rPr>
                <w:sz w:val="16"/>
                <w:szCs w:val="16"/>
                <w:lang w:val="en-US" w:eastAsia="en-US"/>
              </w:rPr>
              <w:t>financiranja</w:t>
            </w:r>
            <w:proofErr w:type="spellEnd"/>
            <w:r w:rsidRPr="00AB678F">
              <w:rPr>
                <w:sz w:val="16"/>
                <w:szCs w:val="16"/>
                <w:lang w:val="en-US" w:eastAsia="en-US"/>
              </w:rPr>
              <w:t xml:space="preserve"> 4.3.1.  -PROGRAM 3201A-ŠIRE JAVNE POTR.-VLASTITA I NAMJENSKA SREDSTVA OŠ-ZADRUGA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sz w:val="18"/>
                <w:szCs w:val="18"/>
                <w:lang w:val="en-US" w:eastAsia="en-US"/>
              </w:rPr>
            </w:pPr>
            <w:r w:rsidRPr="00AB678F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rashoda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izdatka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Naziv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računa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2021.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IZVORNI PLAN 2022.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Ostvarenje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izvršenje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2022.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Indeks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6=5/2*100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7=5/4*100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12970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3045,86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23,48</w:t>
            </w:r>
          </w:p>
        </w:tc>
      </w:tr>
      <w:tr w:rsidR="00AB678F" w:rsidRPr="00AB678F" w:rsidTr="00AB678F">
        <w:trPr>
          <w:trHeight w:val="48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59,40</w:t>
            </w:r>
          </w:p>
        </w:tc>
      </w:tr>
      <w:tr w:rsidR="00AB678F" w:rsidRPr="00AB678F" w:rsidTr="00AB678F">
        <w:trPr>
          <w:trHeight w:val="97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tek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. I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inv.održ.postr.i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opr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Ostale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usluge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594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mat. I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2451,86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27,33</w:t>
            </w:r>
          </w:p>
        </w:tc>
      </w:tr>
      <w:tr w:rsidR="00AB678F" w:rsidRPr="00AB678F" w:rsidTr="00AB678F">
        <w:trPr>
          <w:trHeight w:val="73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Uredski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materijal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ost.mat.RH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8970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2451,86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27,33</w:t>
            </w:r>
          </w:p>
        </w:tc>
      </w:tr>
      <w:tr w:rsidR="00AB678F" w:rsidRPr="00AB678F" w:rsidTr="00AB678F">
        <w:trPr>
          <w:trHeight w:val="70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Rashodi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mat. I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energiju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492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Sitan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inventar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0,00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color w:val="000000"/>
                <w:sz w:val="18"/>
                <w:szCs w:val="18"/>
                <w:lang w:val="en-US" w:eastAsia="en-US"/>
              </w:rPr>
              <w:t>ukupno</w:t>
            </w:r>
            <w:proofErr w:type="spellEnd"/>
            <w:r w:rsidRPr="00AB678F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12970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3045,86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#DIJ/0!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13D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23,48</w:t>
            </w:r>
          </w:p>
        </w:tc>
      </w:tr>
      <w:tr w:rsidR="00AB678F" w:rsidRPr="00AB678F" w:rsidTr="00AB678F">
        <w:trPr>
          <w:trHeight w:val="28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</w:tr>
      <w:tr w:rsidR="00AB678F" w:rsidRPr="00AB678F" w:rsidTr="00AB678F">
        <w:trPr>
          <w:trHeight w:val="1848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Ukupni</w:t>
            </w:r>
            <w:proofErr w:type="spellEnd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troškovi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Grad + MZO + VLASTITI  + DONACIJE+ ŽUPANIJA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5644725,59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6166015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6027788,21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106,79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B678F" w:rsidRPr="00AB678F" w:rsidRDefault="00AB678F" w:rsidP="00AB678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AB678F">
              <w:rPr>
                <w:color w:val="000000"/>
                <w:sz w:val="18"/>
                <w:szCs w:val="18"/>
                <w:lang w:val="en-US" w:eastAsia="en-US"/>
              </w:rPr>
              <w:t>97,76</w:t>
            </w:r>
          </w:p>
        </w:tc>
      </w:tr>
    </w:tbl>
    <w:p w:rsidR="009D303B" w:rsidRPr="00A9371F" w:rsidRDefault="00A9371F" w:rsidP="00A9371F">
      <w:pPr>
        <w:jc w:val="both"/>
      </w:pPr>
      <w:r>
        <w:t>Tablica 6</w:t>
      </w:r>
    </w:p>
    <w:p w:rsidR="00E25F45" w:rsidRDefault="00E25F45" w:rsidP="00A12E33">
      <w:pPr>
        <w:tabs>
          <w:tab w:val="left" w:pos="3720"/>
        </w:tabs>
        <w:jc w:val="both"/>
      </w:pPr>
    </w:p>
    <w:p w:rsidR="00E25F45" w:rsidRPr="00E25F45" w:rsidRDefault="00E25F45" w:rsidP="00A12E3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E25F45" w:rsidRDefault="00E25F45" w:rsidP="00A12E33">
      <w:pPr>
        <w:tabs>
          <w:tab w:val="left" w:pos="3720"/>
        </w:tabs>
        <w:jc w:val="both"/>
        <w:rPr>
          <w:b/>
          <w:sz w:val="28"/>
          <w:szCs w:val="28"/>
        </w:rPr>
      </w:pPr>
      <w:r w:rsidRPr="00E25F45">
        <w:rPr>
          <w:b/>
          <w:sz w:val="28"/>
          <w:szCs w:val="28"/>
        </w:rPr>
        <w:t xml:space="preserve">Analiza rashoda : planirano </w:t>
      </w:r>
      <w:r>
        <w:rPr>
          <w:b/>
          <w:sz w:val="28"/>
          <w:szCs w:val="28"/>
        </w:rPr>
        <w:t>–</w:t>
      </w:r>
      <w:r w:rsidRPr="00E25F45">
        <w:rPr>
          <w:b/>
          <w:sz w:val="28"/>
          <w:szCs w:val="28"/>
        </w:rPr>
        <w:t xml:space="preserve"> realizirano</w:t>
      </w:r>
    </w:p>
    <w:p w:rsidR="00E25F45" w:rsidRDefault="00E25F45" w:rsidP="00A12E33">
      <w:pPr>
        <w:tabs>
          <w:tab w:val="left" w:pos="3720"/>
        </w:tabs>
        <w:jc w:val="both"/>
        <w:rPr>
          <w:b/>
          <w:sz w:val="28"/>
          <w:szCs w:val="28"/>
        </w:rPr>
      </w:pPr>
    </w:p>
    <w:p w:rsidR="00E25F45" w:rsidRPr="007B0BC1" w:rsidRDefault="00E25F45" w:rsidP="00A12E33">
      <w:pPr>
        <w:tabs>
          <w:tab w:val="left" w:pos="3720"/>
        </w:tabs>
        <w:jc w:val="both"/>
        <w:rPr>
          <w:b/>
        </w:rPr>
      </w:pPr>
    </w:p>
    <w:p w:rsidR="00E25F45" w:rsidRDefault="007B0BC1" w:rsidP="00A12E33">
      <w:pPr>
        <w:tabs>
          <w:tab w:val="left" w:pos="3720"/>
        </w:tabs>
        <w:jc w:val="both"/>
      </w:pPr>
      <w:r w:rsidRPr="007B0BC1">
        <w:rPr>
          <w:b/>
        </w:rPr>
        <w:t>IZVOR 1.2.1</w:t>
      </w:r>
      <w:r>
        <w:t xml:space="preserve">. </w:t>
      </w:r>
      <w:r w:rsidR="00921F67">
        <w:t>–</w:t>
      </w:r>
      <w:r w:rsidR="00921F67" w:rsidRPr="00921F67">
        <w:rPr>
          <w:b/>
        </w:rPr>
        <w:t>GRAD</w:t>
      </w:r>
      <w:r w:rsidR="00921F67">
        <w:t xml:space="preserve"> - </w:t>
      </w:r>
      <w:r>
        <w:t xml:space="preserve"> </w:t>
      </w:r>
      <w:r w:rsidR="00E25F45">
        <w:t xml:space="preserve">Materijalni rashodi od Grada kad se gleda ukupno nisu se značajnije mijenjali niti u odnosu na 2021.g. , a niti u odnosu na tekući plan. Međutim, </w:t>
      </w:r>
      <w:r w:rsidR="005816B2">
        <w:t>kad gledamo pojedinačne pozicije, kao što su službena putovanja koja su se povećala za 1093,88% u odnosu na 2021. zbog toga što se u 2022.ponovno krenulo na izlete i ekskurzije, a toga nije bilo u 2021.g., a u odnosu na tekući plan smanjeno je za 26,31%. Zbog nove kotlovnice smo morali poslati domara na stručno usavršavanje za rad s njom, razni seminari što je ovu poziciju povećalo za 347,47% u odnosu na 2021., ali je u odnosu na tekući plan smanjena za 15,81%.</w:t>
      </w:r>
    </w:p>
    <w:p w:rsidR="005816B2" w:rsidRDefault="005816B2" w:rsidP="00A12E33">
      <w:pPr>
        <w:tabs>
          <w:tab w:val="left" w:pos="3720"/>
        </w:tabs>
        <w:jc w:val="both"/>
      </w:pPr>
      <w:r>
        <w:t xml:space="preserve">Ostale naknade troškova zaposlenika su se povećale za 140,76% u odnosu na 2021.g. , a u odnosu na tekući plan za 33,26%, razlog tome je </w:t>
      </w:r>
      <w:proofErr w:type="spellStart"/>
      <w:r>
        <w:t>locco</w:t>
      </w:r>
      <w:proofErr w:type="spellEnd"/>
      <w:r>
        <w:t xml:space="preserve"> vožnja, zbog odlaska na sud zbog sudskih presuda zaposlenika.</w:t>
      </w:r>
    </w:p>
    <w:p w:rsidR="005816B2" w:rsidRDefault="005816B2" w:rsidP="00A12E33">
      <w:pPr>
        <w:tabs>
          <w:tab w:val="left" w:pos="3720"/>
        </w:tabs>
        <w:jc w:val="both"/>
      </w:pPr>
      <w:r>
        <w:t xml:space="preserve">Materijal i sirovine su se povećale u odnosu na 2021.g. za 18,24%, a energija za 69,16% u odnosu na 2021.g. čemu je razlog </w:t>
      </w:r>
      <w:proofErr w:type="spellStart"/>
      <w:r>
        <w:t>inflacija.</w:t>
      </w:r>
      <w:r w:rsidR="00E0698F">
        <w:t>Materijal</w:t>
      </w:r>
      <w:proofErr w:type="spellEnd"/>
      <w:r w:rsidR="00E0698F">
        <w:t xml:space="preserve"> i dijelovi za tekuće i investicijsko održavanje se povećalo za 97,32 %  u odnosu na tekući plan zbog sanacije parketa i drugih radova u školi.</w:t>
      </w:r>
    </w:p>
    <w:p w:rsidR="007B0BC1" w:rsidRDefault="007B0BC1" w:rsidP="00A12E33">
      <w:pPr>
        <w:tabs>
          <w:tab w:val="left" w:pos="3720"/>
        </w:tabs>
        <w:jc w:val="both"/>
      </w:pPr>
      <w:r>
        <w:lastRenderedPageBreak/>
        <w:t>Rashodi za usluge su nam se povećali za 24,65 % u odnosu na tekući plan, a najviše zbog tekućeg i investicijskog održavanja građevinskih objekata i postrojenja i opreme.</w:t>
      </w:r>
    </w:p>
    <w:p w:rsidR="00E25F45" w:rsidRDefault="007B0BC1" w:rsidP="00A12E33">
      <w:pPr>
        <w:tabs>
          <w:tab w:val="left" w:pos="3720"/>
        </w:tabs>
        <w:jc w:val="both"/>
      </w:pPr>
      <w:r>
        <w:t>Financijski rashodi su se povećali za 107,74% u odnosu na 2021.g, a u odnosu na tekući plan su se povećali za 54,10%, razlog tome je poskupljenje bankarskih usluga.</w:t>
      </w:r>
    </w:p>
    <w:p w:rsidR="007B0BC1" w:rsidRDefault="007B0BC1" w:rsidP="00A12E33">
      <w:pPr>
        <w:tabs>
          <w:tab w:val="left" w:pos="3720"/>
        </w:tabs>
        <w:jc w:val="both"/>
      </w:pPr>
    </w:p>
    <w:p w:rsidR="007B0BC1" w:rsidRDefault="007B0BC1" w:rsidP="00A12E33">
      <w:pPr>
        <w:tabs>
          <w:tab w:val="left" w:pos="3720"/>
        </w:tabs>
        <w:jc w:val="both"/>
      </w:pPr>
      <w:r>
        <w:t>Rashodi za redovno održavanje objekata OŠ se u odnosu na 2021.g. se povećalo za 626,26% zbog sanacije kotlovnice.</w:t>
      </w:r>
    </w:p>
    <w:p w:rsidR="005A7013" w:rsidRDefault="005A7013" w:rsidP="00A12E33">
      <w:pPr>
        <w:tabs>
          <w:tab w:val="left" w:pos="3720"/>
        </w:tabs>
        <w:jc w:val="both"/>
      </w:pPr>
      <w:r>
        <w:t>Rashodi za kapitalna ulaganja u ukupnom iznosu se ne mijenjaju, ali su pojedine stavke kao što je oprema narasla za 166,05 % u odnosu na 2021.g., a u odnosu na tekući plan je povećana za 301,06 % zbog nabavki klima za učionice.</w:t>
      </w:r>
    </w:p>
    <w:p w:rsidR="007B0BC1" w:rsidRPr="007B0BC1" w:rsidRDefault="007B0BC1" w:rsidP="00A12E33">
      <w:pPr>
        <w:tabs>
          <w:tab w:val="left" w:pos="3720"/>
        </w:tabs>
        <w:jc w:val="both"/>
        <w:rPr>
          <w:b/>
        </w:rPr>
      </w:pPr>
    </w:p>
    <w:p w:rsidR="007B0BC1" w:rsidRDefault="007B0BC1" w:rsidP="00A12E33">
      <w:pPr>
        <w:tabs>
          <w:tab w:val="left" w:pos="3720"/>
        </w:tabs>
        <w:jc w:val="both"/>
      </w:pPr>
      <w:r w:rsidRPr="007B0BC1">
        <w:rPr>
          <w:b/>
        </w:rPr>
        <w:t xml:space="preserve">IZVOR 1.1.1. </w:t>
      </w:r>
      <w:r>
        <w:rPr>
          <w:b/>
        </w:rPr>
        <w:t xml:space="preserve"> </w:t>
      </w:r>
      <w:r w:rsidR="00921F67">
        <w:rPr>
          <w:b/>
        </w:rPr>
        <w:t>-GRAD</w:t>
      </w:r>
      <w:r>
        <w:rPr>
          <w:b/>
        </w:rPr>
        <w:t xml:space="preserve">– </w:t>
      </w:r>
      <w:r>
        <w:t>Pri kraju godine su nam odobrili  projekt MALA SPLITSKA DEBATA od čega smo realizirali 54,16%</w:t>
      </w:r>
      <w:r w:rsidR="005A7013">
        <w:t>.</w:t>
      </w:r>
    </w:p>
    <w:p w:rsidR="005A7013" w:rsidRDefault="005A7013" w:rsidP="00A12E33">
      <w:pPr>
        <w:tabs>
          <w:tab w:val="left" w:pos="3720"/>
        </w:tabs>
        <w:jc w:val="both"/>
      </w:pPr>
      <w:r>
        <w:t>Također su nam odobrili projekt HITNE INTERVENCIJE</w:t>
      </w:r>
      <w:r w:rsidR="00810A65">
        <w:t xml:space="preserve"> koji nije bio planiran, a razlog je  razbijeno staklo na školi</w:t>
      </w:r>
      <w:r>
        <w:t>.</w:t>
      </w:r>
    </w:p>
    <w:p w:rsidR="005A7013" w:rsidRDefault="005A7013" w:rsidP="00A12E33">
      <w:pPr>
        <w:tabs>
          <w:tab w:val="left" w:pos="3720"/>
        </w:tabs>
        <w:jc w:val="both"/>
      </w:pPr>
      <w:r>
        <w:t xml:space="preserve">Dioklecijanova </w:t>
      </w:r>
      <w:proofErr w:type="spellStart"/>
      <w:r>
        <w:t>škrinjica</w:t>
      </w:r>
      <w:proofErr w:type="spellEnd"/>
      <w:r>
        <w:t xml:space="preserve"> je planirana , ali ni ove godine nije odrađena.</w:t>
      </w:r>
    </w:p>
    <w:p w:rsidR="005A7013" w:rsidRDefault="005A7013" w:rsidP="00A12E33">
      <w:pPr>
        <w:tabs>
          <w:tab w:val="left" w:pos="3720"/>
        </w:tabs>
        <w:jc w:val="both"/>
      </w:pPr>
      <w:r>
        <w:t>Prometni poligon je planiran i odrađen.</w:t>
      </w:r>
    </w:p>
    <w:p w:rsidR="00250123" w:rsidRDefault="00250123" w:rsidP="00A12E33">
      <w:pPr>
        <w:tabs>
          <w:tab w:val="left" w:pos="3720"/>
        </w:tabs>
        <w:jc w:val="both"/>
      </w:pPr>
      <w:r>
        <w:t>Klub mladih tehničara je također odrađen kao što je i planiran.</w:t>
      </w:r>
    </w:p>
    <w:p w:rsidR="005A7013" w:rsidRDefault="005A7013" w:rsidP="00A12E33">
      <w:pPr>
        <w:tabs>
          <w:tab w:val="left" w:pos="3720"/>
        </w:tabs>
        <w:jc w:val="both"/>
      </w:pPr>
      <w:r>
        <w:t>Nabavka udžbenika i pribora je manja za 10,63% u odnosu na 2021.g., a u odnosu na tekući plan manja je za 12,87%, što znači da je bilo potrebno manje radnih bilježnica ove godine.</w:t>
      </w:r>
    </w:p>
    <w:p w:rsidR="00250123" w:rsidRDefault="00250123" w:rsidP="00A12E33">
      <w:pPr>
        <w:tabs>
          <w:tab w:val="left" w:pos="3720"/>
        </w:tabs>
        <w:jc w:val="both"/>
      </w:pPr>
      <w:r>
        <w:t>Od rujna 2022.godine su nam odobrili projekt S POMOĆNIKOM MOGU BOLJE 5 – EU, rashodi za plaće su narasli 10,85% u odnosu na tekući plan zbog povećanja satnice Pomoćnicima.</w:t>
      </w:r>
    </w:p>
    <w:p w:rsidR="00810A65" w:rsidRDefault="00810A65" w:rsidP="00A12E33">
      <w:pPr>
        <w:tabs>
          <w:tab w:val="left" w:pos="3720"/>
        </w:tabs>
        <w:jc w:val="both"/>
      </w:pPr>
      <w:r>
        <w:t>Uređenje okoliša škola je planirano, ali nam je odobreno samo 20,7% za utrošiti.</w:t>
      </w:r>
    </w:p>
    <w:p w:rsidR="00810A65" w:rsidRDefault="00810A65" w:rsidP="00A12E33">
      <w:pPr>
        <w:tabs>
          <w:tab w:val="left" w:pos="3720"/>
        </w:tabs>
        <w:jc w:val="both"/>
      </w:pPr>
      <w:r>
        <w:t>Projekt e-škole je porastao za 10,53% u odnosu na 2021.g., a u odnosu na tekući plan se nije značajnije mijenjao.</w:t>
      </w:r>
    </w:p>
    <w:p w:rsidR="00CF4B3C" w:rsidRDefault="00CF4B3C" w:rsidP="00A12E33">
      <w:pPr>
        <w:tabs>
          <w:tab w:val="left" w:pos="3720"/>
        </w:tabs>
        <w:jc w:val="both"/>
      </w:pPr>
    </w:p>
    <w:p w:rsidR="00CF4B3C" w:rsidRDefault="00CF4B3C" w:rsidP="00A12E33">
      <w:pPr>
        <w:tabs>
          <w:tab w:val="left" w:pos="3720"/>
        </w:tabs>
        <w:jc w:val="both"/>
      </w:pPr>
      <w:r>
        <w:t>Kad se gledaju ukupni rashodi od Grada oni se nisu značajnije mijenjali niti u odnosu na 2021.g., a niti u odnosu na tekući plan.</w:t>
      </w:r>
    </w:p>
    <w:p w:rsidR="00921F67" w:rsidRDefault="00921F67" w:rsidP="00A12E33">
      <w:pPr>
        <w:tabs>
          <w:tab w:val="left" w:pos="3720"/>
        </w:tabs>
        <w:jc w:val="both"/>
      </w:pPr>
    </w:p>
    <w:p w:rsidR="00A12E33" w:rsidRDefault="00A12E33" w:rsidP="00A12E33">
      <w:pPr>
        <w:tabs>
          <w:tab w:val="left" w:pos="3720"/>
        </w:tabs>
        <w:jc w:val="both"/>
      </w:pPr>
    </w:p>
    <w:p w:rsidR="00921F67" w:rsidRDefault="00921F67" w:rsidP="00A12E33">
      <w:pPr>
        <w:tabs>
          <w:tab w:val="left" w:pos="3720"/>
        </w:tabs>
        <w:jc w:val="both"/>
      </w:pPr>
      <w:r w:rsidRPr="00921F67">
        <w:rPr>
          <w:b/>
        </w:rPr>
        <w:t>IZVOR 5.3.1.</w:t>
      </w:r>
      <w:r>
        <w:t xml:space="preserve"> – </w:t>
      </w:r>
      <w:r w:rsidRPr="00921F67">
        <w:rPr>
          <w:b/>
        </w:rPr>
        <w:t>MZO</w:t>
      </w:r>
      <w:r>
        <w:rPr>
          <w:b/>
        </w:rPr>
        <w:t xml:space="preserve"> </w:t>
      </w:r>
      <w:r w:rsidR="00FB4588">
        <w:rPr>
          <w:b/>
        </w:rPr>
        <w:t>–</w:t>
      </w:r>
      <w:r>
        <w:rPr>
          <w:b/>
        </w:rPr>
        <w:t xml:space="preserve"> </w:t>
      </w:r>
      <w:r w:rsidR="00FB4588">
        <w:t>Rashodi za zaposlene su se povećali za 7,94 % u odnosu na 2021.g., a u odnosu na tekući plan nisu se značajnije mijenjali. Tu je bitno spomenuti da su nam se pojavili rashodi za doprinose po sudskim presudama.</w:t>
      </w:r>
    </w:p>
    <w:p w:rsidR="00FB4588" w:rsidRDefault="00FB4588" w:rsidP="00A12E33">
      <w:pPr>
        <w:tabs>
          <w:tab w:val="left" w:pos="3720"/>
        </w:tabs>
        <w:jc w:val="both"/>
      </w:pPr>
      <w:r>
        <w:t xml:space="preserve">Zdravstvene usluge su se smanjile u odnosu na 2021.g., zbog toga što nije bilo toliko više testiranja zaposlenika na </w:t>
      </w:r>
      <w:proofErr w:type="spellStart"/>
      <w:r>
        <w:t>Covid</w:t>
      </w:r>
      <w:proofErr w:type="spellEnd"/>
      <w:r>
        <w:t xml:space="preserve"> -19.</w:t>
      </w:r>
    </w:p>
    <w:p w:rsidR="00FB4588" w:rsidRDefault="00FB4588" w:rsidP="00A12E33">
      <w:pPr>
        <w:tabs>
          <w:tab w:val="left" w:pos="3720"/>
        </w:tabs>
        <w:jc w:val="both"/>
      </w:pPr>
      <w:r>
        <w:t>Također smo planirali troškove sudskih pristojbi i troškove sudskih postupaka, s tim da su se troškovi sudskih postupaka utrošili 40,9% manje od planiranog.</w:t>
      </w:r>
    </w:p>
    <w:p w:rsidR="00FB4588" w:rsidRDefault="00FB4588" w:rsidP="00A12E33">
      <w:pPr>
        <w:tabs>
          <w:tab w:val="left" w:pos="3720"/>
        </w:tabs>
        <w:jc w:val="both"/>
      </w:pPr>
      <w:r>
        <w:t>Zatezne kamate po sudskim presudama su se utrošile u iznosu od 58,8% od planiranog.</w:t>
      </w:r>
    </w:p>
    <w:p w:rsidR="00FB4588" w:rsidRDefault="00FB4588" w:rsidP="00A12E33">
      <w:pPr>
        <w:tabs>
          <w:tab w:val="left" w:pos="3720"/>
        </w:tabs>
        <w:jc w:val="both"/>
      </w:pPr>
      <w:r>
        <w:t>Povećale su se naknade za radne udžbenike u odnosu na lani za 65,04 %, a u odnosu na tekući plan smanjile su se</w:t>
      </w:r>
      <w:r w:rsidR="008F174B">
        <w:t xml:space="preserve"> za 22,32%</w:t>
      </w:r>
    </w:p>
    <w:p w:rsidR="008F174B" w:rsidRDefault="008F174B" w:rsidP="00A12E33">
      <w:pPr>
        <w:tabs>
          <w:tab w:val="left" w:pos="3720"/>
        </w:tabs>
        <w:jc w:val="both"/>
      </w:pPr>
      <w:r>
        <w:t>Utrošili su se novci za nabavku školskog pribora koje smo dobili kao POMOĆ UKRAJINSKIM UČENICIMA, to nije bilo planirano.</w:t>
      </w:r>
    </w:p>
    <w:p w:rsidR="008F174B" w:rsidRDefault="008F174B" w:rsidP="00A12E33">
      <w:pPr>
        <w:tabs>
          <w:tab w:val="left" w:pos="3720"/>
        </w:tabs>
        <w:jc w:val="both"/>
      </w:pPr>
      <w:r>
        <w:t>Nabavka udžbenika je manja za 51,86% u odnosu na 2021.g., a u odnosu na tekući plan manja je za 27,38%.</w:t>
      </w:r>
    </w:p>
    <w:p w:rsidR="008F174B" w:rsidRDefault="008F174B" w:rsidP="00A12E33">
      <w:pPr>
        <w:tabs>
          <w:tab w:val="left" w:pos="3720"/>
        </w:tabs>
        <w:jc w:val="both"/>
      </w:pPr>
    </w:p>
    <w:p w:rsidR="008F174B" w:rsidRDefault="008F174B" w:rsidP="00A12E33">
      <w:pPr>
        <w:tabs>
          <w:tab w:val="left" w:pos="3720"/>
        </w:tabs>
        <w:jc w:val="both"/>
      </w:pPr>
      <w:r>
        <w:t>Kad se gledaju ukupni rashodi od MZO-a, oni su veći za 7,44% u odnosu na 2021.g., a u odnosu na tekući plan se nisu značajnije mijenjali.</w:t>
      </w:r>
    </w:p>
    <w:p w:rsidR="00CF6E2C" w:rsidRDefault="00CF6E2C" w:rsidP="00A12E33">
      <w:pPr>
        <w:tabs>
          <w:tab w:val="left" w:pos="3720"/>
        </w:tabs>
        <w:jc w:val="both"/>
      </w:pPr>
    </w:p>
    <w:p w:rsidR="00CF6E2C" w:rsidRDefault="00CF6E2C" w:rsidP="00A12E33">
      <w:pPr>
        <w:tabs>
          <w:tab w:val="left" w:pos="3720"/>
        </w:tabs>
        <w:jc w:val="both"/>
      </w:pPr>
      <w:r w:rsidRPr="00CF6E2C">
        <w:rPr>
          <w:b/>
        </w:rPr>
        <w:t xml:space="preserve">IZVOR 3.1.1. – VLASTITI- </w:t>
      </w:r>
      <w:r>
        <w:rPr>
          <w:b/>
        </w:rPr>
        <w:t xml:space="preserve"> </w:t>
      </w:r>
      <w:r>
        <w:t>Od vlastitih rashoda smo samo utrošili na zatezne kamate, te na naknade članovima povjerenstava.</w:t>
      </w:r>
    </w:p>
    <w:p w:rsidR="00CB4EF4" w:rsidRDefault="00CB4EF4" w:rsidP="00A12E33">
      <w:pPr>
        <w:tabs>
          <w:tab w:val="left" w:pos="3720"/>
        </w:tabs>
        <w:jc w:val="both"/>
      </w:pPr>
    </w:p>
    <w:p w:rsidR="00CB4EF4" w:rsidRDefault="00CB4EF4" w:rsidP="00A12E33">
      <w:pPr>
        <w:tabs>
          <w:tab w:val="left" w:pos="3720"/>
        </w:tabs>
        <w:jc w:val="both"/>
      </w:pPr>
      <w:r w:rsidRPr="00CB4EF4">
        <w:rPr>
          <w:b/>
        </w:rPr>
        <w:t xml:space="preserve">IZVOR 5.4.1. ŽUPANIJA- </w:t>
      </w:r>
      <w:r>
        <w:t xml:space="preserve"> Rashodi od Županije su se u odnosu na 2021.g. povećali za 370,99 %, a razlog tome je što je Županija uplatila prihode za projekt ČUVARI BAŠTINE, ali nismo uspjeli sve realizirati u 2022.g, pa ćemo to napraviti u 2023.g. Zbog toga ispada da je utrošeno 50,27% manje u odnosu na tekući plan.</w:t>
      </w:r>
    </w:p>
    <w:p w:rsidR="00CB4EF4" w:rsidRDefault="00CB4EF4" w:rsidP="00A12E33">
      <w:pPr>
        <w:tabs>
          <w:tab w:val="left" w:pos="3720"/>
        </w:tabs>
        <w:jc w:val="both"/>
      </w:pPr>
    </w:p>
    <w:p w:rsidR="00CB4EF4" w:rsidRDefault="00CB4EF4" w:rsidP="00A12E33">
      <w:pPr>
        <w:tabs>
          <w:tab w:val="left" w:pos="3720"/>
        </w:tabs>
        <w:jc w:val="both"/>
      </w:pPr>
      <w:r w:rsidRPr="00CB4EF4">
        <w:rPr>
          <w:b/>
        </w:rPr>
        <w:lastRenderedPageBreak/>
        <w:t>IZVOR 4.3.1. – RASHODI ZA POSEBNE NAMJENE</w:t>
      </w:r>
      <w:r>
        <w:rPr>
          <w:b/>
        </w:rPr>
        <w:t xml:space="preserve"> - </w:t>
      </w:r>
      <w:r>
        <w:t xml:space="preserve"> Rashodi za posebne namjene su veći za 172,08 % u odnosu na 2021.g. zbog rashoda za prijevoz djece na izlete, te osiguranja učenika, ali su u odnosu na tekući plan utrošeno za 22,42 % manje sredstava.</w:t>
      </w:r>
    </w:p>
    <w:p w:rsidR="00CB4EF4" w:rsidRPr="00CB4EF4" w:rsidRDefault="00CB4EF4" w:rsidP="00A12E33">
      <w:pPr>
        <w:tabs>
          <w:tab w:val="left" w:pos="3720"/>
        </w:tabs>
        <w:jc w:val="both"/>
        <w:rPr>
          <w:b/>
        </w:rPr>
      </w:pPr>
    </w:p>
    <w:p w:rsidR="00CB4EF4" w:rsidRPr="00CB4EF4" w:rsidRDefault="00CB4EF4" w:rsidP="00A12E33">
      <w:pPr>
        <w:tabs>
          <w:tab w:val="left" w:pos="3720"/>
        </w:tabs>
        <w:jc w:val="both"/>
      </w:pPr>
      <w:r w:rsidRPr="00CB4EF4">
        <w:rPr>
          <w:b/>
        </w:rPr>
        <w:t xml:space="preserve">IZVOR 4.3.1. </w:t>
      </w:r>
      <w:r>
        <w:rPr>
          <w:b/>
        </w:rPr>
        <w:t>–</w:t>
      </w:r>
      <w:r w:rsidRPr="00CB4EF4">
        <w:rPr>
          <w:b/>
        </w:rPr>
        <w:t xml:space="preserve"> ZADRUGA</w:t>
      </w:r>
      <w:r>
        <w:rPr>
          <w:b/>
        </w:rPr>
        <w:t xml:space="preserve"> – </w:t>
      </w:r>
      <w:r>
        <w:t>Rashodi za Zadrugu su utrošeni za 7</w:t>
      </w:r>
      <w:r w:rsidR="00A614FC">
        <w:t>514,65 % više u odnosu na 2021.g., ali u odnosu na tekući plan potrošeno je 23,48% od plana.</w:t>
      </w:r>
    </w:p>
    <w:p w:rsidR="00E25F45" w:rsidRDefault="00E25F45" w:rsidP="00E25F45">
      <w:pPr>
        <w:tabs>
          <w:tab w:val="left" w:pos="3720"/>
        </w:tabs>
        <w:rPr>
          <w:b/>
          <w:sz w:val="28"/>
          <w:szCs w:val="28"/>
        </w:rPr>
      </w:pPr>
    </w:p>
    <w:p w:rsidR="00A12E33" w:rsidRDefault="00A12E33" w:rsidP="00E25F45">
      <w:pPr>
        <w:tabs>
          <w:tab w:val="left" w:pos="3720"/>
        </w:tabs>
        <w:rPr>
          <w:b/>
          <w:sz w:val="28"/>
          <w:szCs w:val="28"/>
        </w:rPr>
      </w:pPr>
    </w:p>
    <w:p w:rsidR="00A12E33" w:rsidRDefault="00A12E33" w:rsidP="00E25F45">
      <w:pPr>
        <w:tabs>
          <w:tab w:val="left" w:pos="3720"/>
        </w:tabs>
        <w:rPr>
          <w:b/>
          <w:sz w:val="28"/>
          <w:szCs w:val="28"/>
        </w:rPr>
      </w:pPr>
    </w:p>
    <w:p w:rsidR="00A12E33" w:rsidRDefault="00A12E33" w:rsidP="00E25F45">
      <w:pPr>
        <w:tabs>
          <w:tab w:val="left" w:pos="3720"/>
        </w:tabs>
        <w:rPr>
          <w:b/>
          <w:sz w:val="28"/>
          <w:szCs w:val="28"/>
        </w:rPr>
      </w:pPr>
    </w:p>
    <w:p w:rsidR="00A12E33" w:rsidRPr="00A12E33" w:rsidRDefault="00A12E33" w:rsidP="00E25F45">
      <w:pPr>
        <w:tabs>
          <w:tab w:val="left" w:pos="3720"/>
        </w:tabs>
      </w:pPr>
      <w:r w:rsidRPr="00A12E33">
        <w:t>Voditeljica računovodstva:</w:t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Pr="00A12E33">
        <w:t>Ravnateljica:</w:t>
      </w:r>
    </w:p>
    <w:p w:rsidR="00A12E33" w:rsidRPr="00A12E33" w:rsidRDefault="00A12E33" w:rsidP="00E25F45">
      <w:pPr>
        <w:tabs>
          <w:tab w:val="left" w:pos="3720"/>
        </w:tabs>
      </w:pPr>
    </w:p>
    <w:p w:rsidR="00A12E33" w:rsidRPr="00A12E33" w:rsidRDefault="00A12E33" w:rsidP="00E25F45">
      <w:pPr>
        <w:tabs>
          <w:tab w:val="left" w:pos="3720"/>
        </w:tabs>
      </w:pPr>
      <w:r w:rsidRPr="00A12E33">
        <w:t>___________________________</w:t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Pr="00A12E33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Pr="00A12E33">
        <w:t>______________________</w:t>
      </w:r>
    </w:p>
    <w:p w:rsidR="00A12E33" w:rsidRPr="00A12E33" w:rsidRDefault="00A12E33" w:rsidP="00E25F45">
      <w:pPr>
        <w:tabs>
          <w:tab w:val="left" w:pos="3720"/>
        </w:tabs>
      </w:pPr>
      <w:r w:rsidRPr="00A12E33">
        <w:t xml:space="preserve">Ines Rajčić, dipl. </w:t>
      </w:r>
      <w:proofErr w:type="spellStart"/>
      <w:r w:rsidRPr="00A12E33">
        <w:t>oec</w:t>
      </w:r>
      <w:proofErr w:type="spellEnd"/>
      <w:r w:rsidRPr="00A12E33">
        <w:t>.</w:t>
      </w:r>
      <w:r w:rsidRPr="00A12E33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="00D674E1">
        <w:tab/>
      </w:r>
      <w:r w:rsidRPr="00A12E33">
        <w:t xml:space="preserve">Marina </w:t>
      </w:r>
      <w:proofErr w:type="spellStart"/>
      <w:r w:rsidRPr="00A12E33">
        <w:t>Baćak</w:t>
      </w:r>
      <w:proofErr w:type="spellEnd"/>
      <w:r w:rsidRPr="00A12E33">
        <w:t>, prof.</w:t>
      </w:r>
    </w:p>
    <w:sectPr w:rsidR="00A12E33" w:rsidRPr="00A12E33" w:rsidSect="00AB67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061C"/>
    <w:multiLevelType w:val="hybridMultilevel"/>
    <w:tmpl w:val="689E15E0"/>
    <w:lvl w:ilvl="0" w:tplc="C36CB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466D"/>
    <w:multiLevelType w:val="hybridMultilevel"/>
    <w:tmpl w:val="A8625D56"/>
    <w:lvl w:ilvl="0" w:tplc="B0A65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40"/>
    <w:rsid w:val="00093603"/>
    <w:rsid w:val="000A5D70"/>
    <w:rsid w:val="00181AAF"/>
    <w:rsid w:val="00194B94"/>
    <w:rsid w:val="001B274C"/>
    <w:rsid w:val="002018D9"/>
    <w:rsid w:val="00250123"/>
    <w:rsid w:val="00282922"/>
    <w:rsid w:val="00296928"/>
    <w:rsid w:val="002F58AE"/>
    <w:rsid w:val="0032246E"/>
    <w:rsid w:val="003621E6"/>
    <w:rsid w:val="00386DEE"/>
    <w:rsid w:val="003D3902"/>
    <w:rsid w:val="0044532A"/>
    <w:rsid w:val="004746EC"/>
    <w:rsid w:val="00493268"/>
    <w:rsid w:val="004D702C"/>
    <w:rsid w:val="004E6C73"/>
    <w:rsid w:val="00577AEE"/>
    <w:rsid w:val="005816B2"/>
    <w:rsid w:val="00585531"/>
    <w:rsid w:val="00585E7D"/>
    <w:rsid w:val="005A3CD7"/>
    <w:rsid w:val="005A7013"/>
    <w:rsid w:val="005B0DAC"/>
    <w:rsid w:val="005E00B2"/>
    <w:rsid w:val="00673EE3"/>
    <w:rsid w:val="00685B11"/>
    <w:rsid w:val="006A0098"/>
    <w:rsid w:val="006D6F15"/>
    <w:rsid w:val="006F65E6"/>
    <w:rsid w:val="00706714"/>
    <w:rsid w:val="0075192F"/>
    <w:rsid w:val="007B0BC1"/>
    <w:rsid w:val="00810A65"/>
    <w:rsid w:val="008B5347"/>
    <w:rsid w:val="008C69E8"/>
    <w:rsid w:val="008E4900"/>
    <w:rsid w:val="008E6A37"/>
    <w:rsid w:val="008F174B"/>
    <w:rsid w:val="00921C00"/>
    <w:rsid w:val="00921F67"/>
    <w:rsid w:val="00971186"/>
    <w:rsid w:val="009C27E2"/>
    <w:rsid w:val="009D303B"/>
    <w:rsid w:val="009D46E2"/>
    <w:rsid w:val="009E523B"/>
    <w:rsid w:val="009E6AE3"/>
    <w:rsid w:val="00A12E33"/>
    <w:rsid w:val="00A16E5B"/>
    <w:rsid w:val="00A4276D"/>
    <w:rsid w:val="00A614FC"/>
    <w:rsid w:val="00A86C30"/>
    <w:rsid w:val="00A9371F"/>
    <w:rsid w:val="00AB678F"/>
    <w:rsid w:val="00B13634"/>
    <w:rsid w:val="00B46D97"/>
    <w:rsid w:val="00C80919"/>
    <w:rsid w:val="00C86DAC"/>
    <w:rsid w:val="00C965A9"/>
    <w:rsid w:val="00CB4EF4"/>
    <w:rsid w:val="00CB792B"/>
    <w:rsid w:val="00CC4788"/>
    <w:rsid w:val="00CD4A44"/>
    <w:rsid w:val="00CF4B3C"/>
    <w:rsid w:val="00CF6E2C"/>
    <w:rsid w:val="00D674E1"/>
    <w:rsid w:val="00DD4462"/>
    <w:rsid w:val="00DE18FF"/>
    <w:rsid w:val="00E0698F"/>
    <w:rsid w:val="00E12401"/>
    <w:rsid w:val="00E25F45"/>
    <w:rsid w:val="00E46724"/>
    <w:rsid w:val="00E520A9"/>
    <w:rsid w:val="00E5686A"/>
    <w:rsid w:val="00E65DD5"/>
    <w:rsid w:val="00E90BA3"/>
    <w:rsid w:val="00EB0807"/>
    <w:rsid w:val="00F523E4"/>
    <w:rsid w:val="00F62E01"/>
    <w:rsid w:val="00FA3808"/>
    <w:rsid w:val="00FB4588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53816-5BFE-4E3F-9A3A-89C0F17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73EE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73EE3"/>
    <w:rPr>
      <w:color w:val="800080"/>
      <w:u w:val="single"/>
    </w:rPr>
  </w:style>
  <w:style w:type="paragraph" w:customStyle="1" w:styleId="msonormal0">
    <w:name w:val="msonormal"/>
    <w:basedOn w:val="Normal"/>
    <w:rsid w:val="00673EE3"/>
    <w:pPr>
      <w:spacing w:before="100" w:beforeAutospacing="1" w:after="100" w:afterAutospacing="1"/>
    </w:pPr>
    <w:rPr>
      <w:lang w:val="en-US" w:eastAsia="en-US"/>
    </w:rPr>
  </w:style>
  <w:style w:type="paragraph" w:customStyle="1" w:styleId="font5">
    <w:name w:val="font5"/>
    <w:basedOn w:val="Normal"/>
    <w:rsid w:val="00673EE3"/>
    <w:pPr>
      <w:spacing w:before="100" w:beforeAutospacing="1" w:after="100" w:afterAutospacing="1"/>
    </w:pPr>
    <w:rPr>
      <w:b/>
      <w:bCs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673EE3"/>
    <w:pPr>
      <w:spacing w:before="100" w:beforeAutospacing="1" w:after="100" w:afterAutospacing="1"/>
    </w:pPr>
    <w:rPr>
      <w:color w:val="000000"/>
      <w:sz w:val="18"/>
      <w:szCs w:val="18"/>
      <w:lang w:val="en-US" w:eastAsia="en-US"/>
    </w:rPr>
  </w:style>
  <w:style w:type="paragraph" w:customStyle="1" w:styleId="font7">
    <w:name w:val="font7"/>
    <w:basedOn w:val="Normal"/>
    <w:rsid w:val="00673EE3"/>
    <w:pP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font8">
    <w:name w:val="font8"/>
    <w:basedOn w:val="Normal"/>
    <w:rsid w:val="00673EE3"/>
    <w:pPr>
      <w:spacing w:before="100" w:beforeAutospacing="1" w:after="100" w:afterAutospacing="1"/>
    </w:pPr>
    <w:rPr>
      <w:b/>
      <w:bCs/>
      <w:color w:val="000000"/>
      <w:sz w:val="18"/>
      <w:szCs w:val="18"/>
      <w:lang w:val="en-US" w:eastAsia="en-US"/>
    </w:rPr>
  </w:style>
  <w:style w:type="paragraph" w:customStyle="1" w:styleId="xl66">
    <w:name w:val="xl6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68">
    <w:name w:val="xl68"/>
    <w:basedOn w:val="Normal"/>
    <w:rsid w:val="00673EE3"/>
    <w:pP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33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0">
    <w:name w:val="xl7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1">
    <w:name w:val="xl7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2">
    <w:name w:val="xl7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73">
    <w:name w:val="xl7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4">
    <w:name w:val="xl7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75">
    <w:name w:val="xl7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76">
    <w:name w:val="xl7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7">
    <w:name w:val="xl7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78">
    <w:name w:val="xl7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u w:val="single"/>
      <w:lang w:val="en-US" w:eastAsia="en-US"/>
    </w:rPr>
  </w:style>
  <w:style w:type="paragraph" w:customStyle="1" w:styleId="xl79">
    <w:name w:val="xl7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0">
    <w:name w:val="xl8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sz w:val="18"/>
      <w:szCs w:val="18"/>
      <w:u w:val="single"/>
      <w:lang w:val="en-US" w:eastAsia="en-US"/>
    </w:rPr>
  </w:style>
  <w:style w:type="paragraph" w:customStyle="1" w:styleId="xl81">
    <w:name w:val="xl8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2">
    <w:name w:val="xl8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3">
    <w:name w:val="xl8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4">
    <w:name w:val="xl8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5">
    <w:name w:val="xl8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6">
    <w:name w:val="xl8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7">
    <w:name w:val="xl8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8">
    <w:name w:val="xl8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89">
    <w:name w:val="xl8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0">
    <w:name w:val="xl9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1">
    <w:name w:val="xl9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2">
    <w:name w:val="xl9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93">
    <w:name w:val="xl9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94">
    <w:name w:val="xl9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5">
    <w:name w:val="xl9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96">
    <w:name w:val="xl9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97">
    <w:name w:val="xl9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98">
    <w:name w:val="xl9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9">
    <w:name w:val="xl9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0">
    <w:name w:val="xl10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01">
    <w:name w:val="xl10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02">
    <w:name w:val="xl10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3">
    <w:name w:val="xl10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4">
    <w:name w:val="xl10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5">
    <w:name w:val="xl10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6">
    <w:name w:val="xl10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99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7">
    <w:name w:val="xl10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8">
    <w:name w:val="xl10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09">
    <w:name w:val="xl10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u w:val="single"/>
      <w:lang w:val="en-US" w:eastAsia="en-US"/>
    </w:rPr>
  </w:style>
  <w:style w:type="paragraph" w:customStyle="1" w:styleId="xl110">
    <w:name w:val="xl11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11">
    <w:name w:val="xl111"/>
    <w:basedOn w:val="Normal"/>
    <w:rsid w:val="00673EE3"/>
    <w:pPr>
      <w:spacing w:before="100" w:beforeAutospacing="1" w:after="100" w:afterAutospacing="1"/>
    </w:pPr>
    <w:rPr>
      <w:lang w:val="en-US" w:eastAsia="en-US"/>
    </w:rPr>
  </w:style>
  <w:style w:type="paragraph" w:customStyle="1" w:styleId="xl112">
    <w:name w:val="xl11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  <w:lang w:val="en-US" w:eastAsia="en-US"/>
    </w:rPr>
  </w:style>
  <w:style w:type="paragraph" w:customStyle="1" w:styleId="xl113">
    <w:name w:val="xl11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  <w:lang w:val="en-US" w:eastAsia="en-US"/>
    </w:rPr>
  </w:style>
  <w:style w:type="paragraph" w:customStyle="1" w:styleId="xl114">
    <w:name w:val="xl11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  <w:lang w:val="en-US" w:eastAsia="en-US"/>
    </w:rPr>
  </w:style>
  <w:style w:type="paragraph" w:customStyle="1" w:styleId="xl115">
    <w:name w:val="xl11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2"/>
      <w:szCs w:val="32"/>
      <w:lang w:val="en-US" w:eastAsia="en-US"/>
    </w:rPr>
  </w:style>
  <w:style w:type="paragraph" w:customStyle="1" w:styleId="xl116">
    <w:name w:val="xl116"/>
    <w:basedOn w:val="Normal"/>
    <w:rsid w:val="00673EE3"/>
    <w:pPr>
      <w:spacing w:before="100" w:beforeAutospacing="1" w:after="100" w:afterAutospacing="1"/>
    </w:pPr>
    <w:rPr>
      <w:sz w:val="32"/>
      <w:szCs w:val="32"/>
      <w:lang w:val="en-US" w:eastAsia="en-US"/>
    </w:rPr>
  </w:style>
  <w:style w:type="paragraph" w:customStyle="1" w:styleId="xl117">
    <w:name w:val="xl11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18">
    <w:name w:val="xl11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9">
    <w:name w:val="xl11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  <w:lang w:val="en-US" w:eastAsia="en-US"/>
    </w:rPr>
  </w:style>
  <w:style w:type="paragraph" w:customStyle="1" w:styleId="xl120">
    <w:name w:val="xl12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1">
    <w:name w:val="xl12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2">
    <w:name w:val="xl12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3">
    <w:name w:val="xl12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4">
    <w:name w:val="xl12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5">
    <w:name w:val="xl12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7">
    <w:name w:val="xl12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28">
    <w:name w:val="xl12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29">
    <w:name w:val="xl12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0">
    <w:name w:val="xl13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1">
    <w:name w:val="xl13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2">
    <w:name w:val="xl13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3">
    <w:name w:val="xl13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4">
    <w:name w:val="xl13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5">
    <w:name w:val="xl13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6">
    <w:name w:val="xl136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13D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7">
    <w:name w:val="xl137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13D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8">
    <w:name w:val="xl138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13D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39">
    <w:name w:val="xl13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13D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0">
    <w:name w:val="xl14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1">
    <w:name w:val="xl14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42">
    <w:name w:val="xl14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43">
    <w:name w:val="xl14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4">
    <w:name w:val="xl14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5">
    <w:name w:val="xl145"/>
    <w:basedOn w:val="Normal"/>
    <w:rsid w:val="00673EE3"/>
    <w:pP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6">
    <w:name w:val="xl146"/>
    <w:basedOn w:val="Normal"/>
    <w:rsid w:val="00673EE3"/>
    <w:pPr>
      <w:shd w:val="clear" w:color="000000" w:fill="FFFFFF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7">
    <w:name w:val="xl147"/>
    <w:basedOn w:val="Normal"/>
    <w:rsid w:val="00673EE3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8">
    <w:name w:val="xl148"/>
    <w:basedOn w:val="Normal"/>
    <w:rsid w:val="00673EE3"/>
    <w:pPr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49">
    <w:name w:val="xl149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50">
    <w:name w:val="xl150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  <w:lang w:val="en-US" w:eastAsia="en-US"/>
    </w:rPr>
  </w:style>
  <w:style w:type="paragraph" w:customStyle="1" w:styleId="xl151">
    <w:name w:val="xl151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53">
    <w:name w:val="xl153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55">
    <w:name w:val="xl155"/>
    <w:basedOn w:val="Normal"/>
    <w:rsid w:val="00673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Normal"/>
    <w:rsid w:val="00673EE3"/>
    <w:pPr>
      <w:shd w:val="clear" w:color="000000" w:fill="FF330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157">
    <w:name w:val="xl157"/>
    <w:basedOn w:val="Normal"/>
    <w:rsid w:val="00673EE3"/>
    <w:pPr>
      <w:shd w:val="clear" w:color="000000" w:fill="FF3300"/>
      <w:spacing w:before="100" w:beforeAutospacing="1" w:after="100" w:afterAutospacing="1"/>
    </w:pPr>
    <w:rPr>
      <w:lang w:val="en-US" w:eastAsia="en-US"/>
    </w:rPr>
  </w:style>
  <w:style w:type="paragraph" w:customStyle="1" w:styleId="xl158">
    <w:name w:val="xl158"/>
    <w:basedOn w:val="Normal"/>
    <w:rsid w:val="00673EE3"/>
    <w:pPr>
      <w:shd w:val="clear" w:color="000000" w:fill="92D05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159">
    <w:name w:val="xl159"/>
    <w:basedOn w:val="Normal"/>
    <w:rsid w:val="00673EE3"/>
    <w:pPr>
      <w:shd w:val="clear" w:color="000000" w:fill="92D050"/>
      <w:spacing w:before="100" w:beforeAutospacing="1" w:after="100" w:afterAutospacing="1"/>
    </w:pPr>
    <w:rPr>
      <w:lang w:val="en-US" w:eastAsia="en-US"/>
    </w:rPr>
  </w:style>
  <w:style w:type="paragraph" w:customStyle="1" w:styleId="xl160">
    <w:name w:val="xl160"/>
    <w:basedOn w:val="Normal"/>
    <w:rsid w:val="00673EE3"/>
    <w:pPr>
      <w:shd w:val="clear" w:color="000000" w:fill="92D05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161">
    <w:name w:val="xl161"/>
    <w:basedOn w:val="Normal"/>
    <w:rsid w:val="00673EE3"/>
    <w:pPr>
      <w:shd w:val="clear" w:color="000000" w:fill="92D050"/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2">
    <w:name w:val="xl162"/>
    <w:basedOn w:val="Normal"/>
    <w:rsid w:val="00673EE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F523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0D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DAC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Radni_list_programa_Microsoft_Excel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C3CE-7CCE-438F-83D1-4B9290BF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2023-02-14T13:16:00Z</cp:lastPrinted>
  <dcterms:created xsi:type="dcterms:W3CDTF">2023-04-06T09:44:00Z</dcterms:created>
  <dcterms:modified xsi:type="dcterms:W3CDTF">2023-04-06T09:44:00Z</dcterms:modified>
</cp:coreProperties>
</file>