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CD" w:rsidRPr="0047774F" w:rsidRDefault="0047774F" w:rsidP="00CA53CD">
      <w:pPr>
        <w:rPr>
          <w:b/>
          <w:sz w:val="32"/>
          <w:szCs w:val="32"/>
        </w:rPr>
      </w:pPr>
      <w:r w:rsidRPr="0047774F">
        <w:rPr>
          <w:b/>
          <w:sz w:val="32"/>
          <w:szCs w:val="32"/>
        </w:rPr>
        <w:t>OSNOVNA</w:t>
      </w:r>
      <w:r>
        <w:rPr>
          <w:b/>
          <w:sz w:val="32"/>
          <w:szCs w:val="32"/>
        </w:rPr>
        <w:t xml:space="preserve">  </w:t>
      </w:r>
      <w:r w:rsidRPr="0047774F">
        <w:rPr>
          <w:b/>
          <w:sz w:val="32"/>
          <w:szCs w:val="32"/>
        </w:rPr>
        <w:t xml:space="preserve"> ŠKOLA</w:t>
      </w:r>
      <w:r>
        <w:rPr>
          <w:b/>
          <w:sz w:val="32"/>
          <w:szCs w:val="32"/>
        </w:rPr>
        <w:t xml:space="preserve">  </w:t>
      </w:r>
      <w:r w:rsidRPr="0047774F">
        <w:rPr>
          <w:b/>
          <w:sz w:val="32"/>
          <w:szCs w:val="32"/>
        </w:rPr>
        <w:t xml:space="preserve"> STOBREČ</w:t>
      </w:r>
    </w:p>
    <w:p w:rsidR="0047774F" w:rsidRDefault="0047774F" w:rsidP="00CA53CD">
      <w:r>
        <w:t>Ivankova 13</w:t>
      </w:r>
    </w:p>
    <w:p w:rsidR="0047774F" w:rsidRDefault="0047774F" w:rsidP="00CA53CD">
      <w:r>
        <w:t>21311  S T O B R E Č</w:t>
      </w:r>
    </w:p>
    <w:p w:rsidR="0047774F" w:rsidRDefault="0047774F" w:rsidP="00CA53CD">
      <w:r>
        <w:t>OIB: 87172411947</w:t>
      </w:r>
    </w:p>
    <w:p w:rsidR="0047774F" w:rsidRDefault="0047774F" w:rsidP="00CA53CD">
      <w:r>
        <w:t>RKP: 16213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tel/fax: 021/ 325-788</w:t>
      </w:r>
    </w:p>
    <w:p w:rsidR="0047774F" w:rsidRDefault="0047774F" w:rsidP="00CA53CD">
      <w:pPr>
        <w:pBdr>
          <w:bottom w:val="single" w:sz="12" w:space="1" w:color="auto"/>
        </w:pBdr>
      </w:pPr>
      <w:r>
        <w:t>Šifra škole: 17-126-027</w:t>
      </w:r>
      <w:r>
        <w:tab/>
      </w:r>
      <w:r>
        <w:tab/>
      </w:r>
      <w:r>
        <w:tab/>
      </w:r>
      <w:r>
        <w:tab/>
      </w:r>
      <w:r>
        <w:tab/>
        <w:t>mail: stobrec@os-stobrec.skole.hr</w:t>
      </w:r>
      <w:r>
        <w:tab/>
      </w:r>
    </w:p>
    <w:p w:rsidR="0047774F" w:rsidRDefault="0047774F" w:rsidP="00CA53CD">
      <w:r>
        <w:tab/>
      </w:r>
      <w:r>
        <w:tab/>
      </w:r>
      <w:r>
        <w:tab/>
      </w:r>
    </w:p>
    <w:p w:rsidR="0047774F" w:rsidRDefault="0047774F" w:rsidP="00CA53CD"/>
    <w:p w:rsidR="00085A4C" w:rsidRDefault="00085A4C" w:rsidP="00CA53CD"/>
    <w:p w:rsidR="0047774F" w:rsidRDefault="0047774F" w:rsidP="0047774F">
      <w:pPr>
        <w:jc w:val="center"/>
        <w:rPr>
          <w:b/>
          <w:sz w:val="32"/>
          <w:szCs w:val="32"/>
        </w:rPr>
      </w:pPr>
      <w:r w:rsidRPr="0047774F">
        <w:rPr>
          <w:b/>
          <w:sz w:val="32"/>
          <w:szCs w:val="32"/>
        </w:rPr>
        <w:t xml:space="preserve">IZVJEŠĆE O IZVRŠENJU </w:t>
      </w:r>
      <w:r>
        <w:rPr>
          <w:b/>
          <w:sz w:val="32"/>
          <w:szCs w:val="32"/>
        </w:rPr>
        <w:t>FINANCIJSKOG PLANA ZA 2021. g.</w:t>
      </w:r>
    </w:p>
    <w:p w:rsidR="0047774F" w:rsidRDefault="0047774F" w:rsidP="0047774F">
      <w:pPr>
        <w:jc w:val="center"/>
        <w:rPr>
          <w:b/>
          <w:sz w:val="32"/>
          <w:szCs w:val="32"/>
        </w:rPr>
      </w:pPr>
    </w:p>
    <w:p w:rsidR="0047774F" w:rsidRPr="0047774F" w:rsidRDefault="0047774F" w:rsidP="0047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1.1.2021. – 31.12.2021.</w:t>
      </w:r>
    </w:p>
    <w:p w:rsidR="0047774F" w:rsidRDefault="0047774F" w:rsidP="00CA53CD"/>
    <w:p w:rsidR="00293CB0" w:rsidRPr="00085A4C" w:rsidRDefault="00293CB0" w:rsidP="00293CB0">
      <w:pPr>
        <w:jc w:val="center"/>
        <w:rPr>
          <w:b/>
          <w:i/>
          <w:sz w:val="28"/>
          <w:szCs w:val="28"/>
          <w:u w:val="single"/>
        </w:rPr>
      </w:pPr>
      <w:r w:rsidRPr="00085A4C">
        <w:rPr>
          <w:b/>
          <w:i/>
          <w:sz w:val="28"/>
          <w:szCs w:val="28"/>
          <w:u w:val="single"/>
        </w:rPr>
        <w:t>IZVJEŠTAJ O PRIHODIMA I RASHODIMA, PRIMICIMA I IZDACIMA</w:t>
      </w:r>
    </w:p>
    <w:p w:rsidR="0047774F" w:rsidRDefault="0047774F" w:rsidP="00CA53CD"/>
    <w:p w:rsidR="0047774F" w:rsidRDefault="0047774F" w:rsidP="00CA53CD"/>
    <w:p w:rsidR="0047774F" w:rsidRDefault="00085A4C" w:rsidP="00085A4C">
      <w:pPr>
        <w:spacing w:line="360" w:lineRule="auto"/>
      </w:pPr>
      <w:r>
        <w:t>Ukupno je ostvareno 5.746.708,73 kn  prihoda</w:t>
      </w:r>
    </w:p>
    <w:p w:rsidR="00085A4C" w:rsidRDefault="00085A4C" w:rsidP="00085A4C">
      <w:pPr>
        <w:spacing w:line="360" w:lineRule="auto"/>
      </w:pPr>
      <w:r>
        <w:t>Ukupno je ostvareno 5.645.344,34 kn rashoda</w:t>
      </w:r>
    </w:p>
    <w:p w:rsidR="00085A4C" w:rsidRDefault="00085A4C" w:rsidP="00085A4C">
      <w:pPr>
        <w:spacing w:line="360" w:lineRule="auto"/>
      </w:pPr>
      <w:r>
        <w:t>Za razdoblje od 1.1.-31.12.2021. ostvaren je višak prihoda u iznosu od 101.364,39 kn</w:t>
      </w:r>
    </w:p>
    <w:p w:rsidR="00085A4C" w:rsidRDefault="00085A4C" w:rsidP="00085A4C">
      <w:pPr>
        <w:spacing w:line="360" w:lineRule="auto"/>
        <w:rPr>
          <w:color w:val="FF0000"/>
        </w:rPr>
      </w:pPr>
      <w:r>
        <w:t xml:space="preserve">Preneseni manjak prihoda iz 2020.god. iznosi </w:t>
      </w:r>
      <w:r w:rsidRPr="00085A4C">
        <w:rPr>
          <w:color w:val="FF0000"/>
        </w:rPr>
        <w:t>– 288.185,80</w:t>
      </w:r>
    </w:p>
    <w:p w:rsidR="00085A4C" w:rsidRDefault="00085A4C" w:rsidP="00085A4C">
      <w:pPr>
        <w:spacing w:line="360" w:lineRule="auto"/>
        <w:rPr>
          <w:color w:val="FF0000"/>
        </w:rPr>
      </w:pPr>
      <w:r>
        <w:t xml:space="preserve">Manjak prihoda i primitaka za pokriće u sljedećem razdoblju iznosi </w:t>
      </w:r>
      <w:r w:rsidRPr="00085A4C">
        <w:rPr>
          <w:color w:val="FF0000"/>
        </w:rPr>
        <w:t>– 186.821,41 kn</w:t>
      </w:r>
    </w:p>
    <w:p w:rsidR="00085A4C" w:rsidRPr="00085A4C" w:rsidRDefault="00085A4C" w:rsidP="00085A4C">
      <w:pPr>
        <w:spacing w:line="360" w:lineRule="auto"/>
        <w:rPr>
          <w:b/>
        </w:rPr>
      </w:pPr>
      <w:r w:rsidRPr="00085A4C">
        <w:rPr>
          <w:b/>
        </w:rPr>
        <w:t>Rezultat poslovanja prema izvorima financiranja od 1.1.2021. do 31.12.2021.god.</w:t>
      </w:r>
    </w:p>
    <w:p w:rsidR="0047774F" w:rsidRPr="0047774F" w:rsidRDefault="0047774F" w:rsidP="00CA53CD">
      <w:pPr>
        <w:rPr>
          <w:sz w:val="36"/>
          <w:szCs w:val="36"/>
        </w:rPr>
      </w:pPr>
    </w:p>
    <w:p w:rsidR="0047774F" w:rsidRDefault="00085A4C" w:rsidP="00CA53CD">
      <w:r w:rsidRPr="00085A4C">
        <w:rPr>
          <w:noProof/>
          <w:lang w:val="en-US" w:eastAsia="en-US"/>
        </w:rPr>
        <w:drawing>
          <wp:inline distT="0" distB="0" distL="0" distR="0">
            <wp:extent cx="5943600" cy="30671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4F" w:rsidRDefault="0047774F" w:rsidP="00CA53CD"/>
    <w:p w:rsidR="0047774F" w:rsidRDefault="000D3F08" w:rsidP="00604F83">
      <w:pPr>
        <w:jc w:val="both"/>
        <w:rPr>
          <w:b/>
          <w:sz w:val="28"/>
          <w:szCs w:val="28"/>
        </w:rPr>
      </w:pPr>
      <w:r w:rsidRPr="000D3F08">
        <w:rPr>
          <w:b/>
          <w:sz w:val="28"/>
          <w:szCs w:val="28"/>
        </w:rPr>
        <w:lastRenderedPageBreak/>
        <w:t>Analiza rezultata poslovanja</w:t>
      </w:r>
    </w:p>
    <w:p w:rsidR="00D468B2" w:rsidRDefault="00D468B2" w:rsidP="00604F83">
      <w:pPr>
        <w:jc w:val="both"/>
        <w:rPr>
          <w:b/>
          <w:sz w:val="28"/>
          <w:szCs w:val="28"/>
        </w:rPr>
      </w:pPr>
    </w:p>
    <w:p w:rsidR="00D468B2" w:rsidRPr="00D468B2" w:rsidRDefault="00D468B2" w:rsidP="00604F83">
      <w:pPr>
        <w:pStyle w:val="Odlomakpopisa"/>
        <w:numPr>
          <w:ilvl w:val="0"/>
          <w:numId w:val="1"/>
        </w:numPr>
        <w:jc w:val="both"/>
      </w:pPr>
      <w:r w:rsidRPr="00D468B2">
        <w:rPr>
          <w:b/>
        </w:rPr>
        <w:t>Grad Split –kumulativni metodološki manjak poslovanja</w:t>
      </w:r>
      <w:r>
        <w:t xml:space="preserve"> </w:t>
      </w:r>
      <w:r w:rsidRPr="00D468B2">
        <w:rPr>
          <w:color w:val="FF0000"/>
        </w:rPr>
        <w:t>– 198.099,72</w:t>
      </w:r>
      <w:r>
        <w:rPr>
          <w:color w:val="FF0000"/>
        </w:rPr>
        <w:t xml:space="preserve"> kn</w:t>
      </w:r>
    </w:p>
    <w:p w:rsidR="0047774F" w:rsidRDefault="0047774F" w:rsidP="00604F83">
      <w:pPr>
        <w:jc w:val="both"/>
      </w:pPr>
    </w:p>
    <w:p w:rsidR="0047774F" w:rsidRDefault="00D468B2" w:rsidP="00604F83">
      <w:pPr>
        <w:jc w:val="both"/>
      </w:pPr>
      <w:r>
        <w:t>Grad Split će sve račune podmiriti u 2022.godini prema dospijeću.</w:t>
      </w:r>
    </w:p>
    <w:p w:rsidR="00D468B2" w:rsidRDefault="00D468B2" w:rsidP="00604F83">
      <w:pPr>
        <w:jc w:val="both"/>
      </w:pPr>
    </w:p>
    <w:p w:rsidR="00D468B2" w:rsidRPr="0004426C" w:rsidRDefault="00D468B2" w:rsidP="00604F83">
      <w:pPr>
        <w:pStyle w:val="Odlomakpopisa"/>
        <w:numPr>
          <w:ilvl w:val="0"/>
          <w:numId w:val="1"/>
        </w:numPr>
        <w:jc w:val="both"/>
        <w:rPr>
          <w:b/>
        </w:rPr>
      </w:pPr>
      <w:r w:rsidRPr="0004426C">
        <w:rPr>
          <w:b/>
        </w:rPr>
        <w:t>MZO</w:t>
      </w:r>
    </w:p>
    <w:p w:rsidR="00D468B2" w:rsidRDefault="00D468B2" w:rsidP="00604F83">
      <w:pPr>
        <w:jc w:val="both"/>
      </w:pPr>
    </w:p>
    <w:p w:rsidR="00D468B2" w:rsidRDefault="00D468B2" w:rsidP="00604F83">
      <w:pPr>
        <w:jc w:val="both"/>
      </w:pPr>
      <w:r>
        <w:t xml:space="preserve">Manjak od </w:t>
      </w:r>
      <w:r w:rsidRPr="00D468B2">
        <w:rPr>
          <w:color w:val="FF0000"/>
        </w:rPr>
        <w:t xml:space="preserve">-3.240,00 </w:t>
      </w:r>
      <w:r>
        <w:t>kn se odnosi na trošak testiranja zaposlenika na Covid 19 za 12/2021.godine, a nastao je zbog t</w:t>
      </w:r>
      <w:r w:rsidR="009D46F1">
        <w:t>oga što MZO ta sredstva nije do kraja 2021.godine</w:t>
      </w:r>
      <w:r>
        <w:t xml:space="preserve"> doznačio na naš Ž-R.</w:t>
      </w:r>
    </w:p>
    <w:p w:rsidR="0047774F" w:rsidRDefault="0047774F" w:rsidP="00604F83">
      <w:pPr>
        <w:jc w:val="both"/>
      </w:pPr>
    </w:p>
    <w:p w:rsidR="0004426C" w:rsidRDefault="0004426C" w:rsidP="00604F83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Vlastiti prihodi - k</w:t>
      </w:r>
      <w:r w:rsidRPr="0004426C">
        <w:rPr>
          <w:b/>
        </w:rPr>
        <w:t>amate na sredstva na Ž-R i prihod od prodaje robe zadruge Lovorika 8.687,60 kn</w:t>
      </w:r>
    </w:p>
    <w:p w:rsidR="0004426C" w:rsidRDefault="0004426C" w:rsidP="00604F83">
      <w:pPr>
        <w:jc w:val="both"/>
        <w:rPr>
          <w:b/>
        </w:rPr>
      </w:pPr>
    </w:p>
    <w:p w:rsidR="0004426C" w:rsidRDefault="00EC61CA" w:rsidP="00604F83">
      <w:pPr>
        <w:jc w:val="both"/>
      </w:pPr>
      <w:r>
        <w:t>Ostvarili smo p</w:t>
      </w:r>
      <w:r w:rsidR="0004426C">
        <w:t xml:space="preserve">rihod </w:t>
      </w:r>
      <w:r>
        <w:t xml:space="preserve">od 5.010,00 kn </w:t>
      </w:r>
      <w:r w:rsidR="0004426C">
        <w:t>od prodaje maslinovog ulja u projektu „Dalmatinski suvenir“ koje nam je platio Centar izvrsnost</w:t>
      </w:r>
      <w:r w:rsidR="00215535">
        <w:t xml:space="preserve">i SDŽ. </w:t>
      </w:r>
      <w:r w:rsidR="0004426C">
        <w:t>Imali smo prihod od kamata na Ž-R</w:t>
      </w:r>
      <w:r w:rsidR="00215535">
        <w:t xml:space="preserve">. Također smo imali refundaciju iz prethodnih godina, a odnosila se na plaćeni seminar koji se nije mogao održati  u 2020.godini, pa su nam početkom 2021. godine vratili novac na Ž-R. Od tog novca smo platili  seminar koji se održao krajem 2021.godine, a račun nismo unosili u Riznicu da nam Grad plati. Iz vlastitih sredstava smo platili i popravak tableta, namirili smo troškove Zadruge. Pri obračunu naknada članovima poverenstava došlo je do razlike od 0,02 lp te smo to također iz </w:t>
      </w:r>
      <w:r>
        <w:t>Vlastitih sredstava pokrili. MZO</w:t>
      </w:r>
      <w:r w:rsidR="00215535">
        <w:t xml:space="preserve"> je financirao nabavku lektire u iznosu od 3.000,00 kn, a naš račun je bio 3.022,04 kn, pa smo iz Vlastitih financirali ove 22,04 kn.</w:t>
      </w:r>
    </w:p>
    <w:p w:rsidR="0004426C" w:rsidRDefault="0004426C" w:rsidP="00604F83">
      <w:pPr>
        <w:jc w:val="both"/>
      </w:pPr>
    </w:p>
    <w:p w:rsidR="00EC61CA" w:rsidRPr="00EC61CA" w:rsidRDefault="00EC61CA" w:rsidP="00604F83">
      <w:pPr>
        <w:pStyle w:val="Odlomakpopisa"/>
        <w:numPr>
          <w:ilvl w:val="0"/>
          <w:numId w:val="1"/>
        </w:numPr>
        <w:jc w:val="both"/>
        <w:rPr>
          <w:b/>
        </w:rPr>
      </w:pPr>
      <w:r w:rsidRPr="00EC61CA">
        <w:rPr>
          <w:b/>
        </w:rPr>
        <w:t>Ostali nespomenuti prihodi 618,75 kn</w:t>
      </w:r>
    </w:p>
    <w:p w:rsidR="00EC61CA" w:rsidRDefault="00EC61CA" w:rsidP="00604F83">
      <w:pPr>
        <w:jc w:val="both"/>
      </w:pPr>
    </w:p>
    <w:p w:rsidR="00EC61CA" w:rsidRDefault="00EC61CA" w:rsidP="00604F83">
      <w:pPr>
        <w:jc w:val="both"/>
      </w:pPr>
      <w:r>
        <w:t>Prihod nastao od uplate roditelja za popravak tableta.</w:t>
      </w:r>
    </w:p>
    <w:p w:rsidR="00EC61CA" w:rsidRDefault="00EC61CA" w:rsidP="00604F83">
      <w:pPr>
        <w:jc w:val="both"/>
      </w:pPr>
    </w:p>
    <w:p w:rsidR="00EC61CA" w:rsidRPr="00EC61CA" w:rsidRDefault="00EC61CA" w:rsidP="00604F83">
      <w:pPr>
        <w:pStyle w:val="Odlomakpopisa"/>
        <w:numPr>
          <w:ilvl w:val="0"/>
          <w:numId w:val="1"/>
        </w:numPr>
        <w:jc w:val="both"/>
        <w:rPr>
          <w:b/>
        </w:rPr>
      </w:pPr>
      <w:r w:rsidRPr="00EC61CA">
        <w:rPr>
          <w:b/>
        </w:rPr>
        <w:t>Prihodi od Županije 680,00 kn</w:t>
      </w:r>
    </w:p>
    <w:p w:rsidR="00EC61CA" w:rsidRDefault="00EC61CA" w:rsidP="00604F83">
      <w:pPr>
        <w:jc w:val="both"/>
      </w:pPr>
    </w:p>
    <w:p w:rsidR="0047774F" w:rsidRDefault="00EC61CA" w:rsidP="00604F83">
      <w:pPr>
        <w:jc w:val="both"/>
      </w:pPr>
      <w:r>
        <w:t>Županija nam je tijekom 2021. godine uplatila novce za naknade članovima povjerenstava, koje smo uredno obračunali i isplatili članovima povjerenstava.</w:t>
      </w:r>
    </w:p>
    <w:p w:rsidR="009E07FC" w:rsidRDefault="009E07FC" w:rsidP="00604F83">
      <w:pPr>
        <w:jc w:val="both"/>
      </w:pPr>
    </w:p>
    <w:p w:rsidR="0047774F" w:rsidRPr="00850C3A" w:rsidRDefault="00850C3A" w:rsidP="00604F83">
      <w:pPr>
        <w:pStyle w:val="Odlomakpopisa"/>
        <w:numPr>
          <w:ilvl w:val="0"/>
          <w:numId w:val="1"/>
        </w:numPr>
        <w:jc w:val="both"/>
        <w:rPr>
          <w:b/>
        </w:rPr>
      </w:pPr>
      <w:r w:rsidRPr="00850C3A">
        <w:rPr>
          <w:b/>
        </w:rPr>
        <w:t>Donacije  5.211,96 kn</w:t>
      </w:r>
    </w:p>
    <w:p w:rsidR="00850C3A" w:rsidRDefault="00850C3A" w:rsidP="00604F83">
      <w:pPr>
        <w:jc w:val="both"/>
      </w:pPr>
    </w:p>
    <w:p w:rsidR="00850C3A" w:rsidRDefault="00850C3A" w:rsidP="00604F83">
      <w:pPr>
        <w:jc w:val="both"/>
      </w:pPr>
      <w:r>
        <w:t>U ovoj godini nismo imali prihode od donacija, kao niti prethodne 2020.godine, tako da je ovo stanje od 2019.godine.</w:t>
      </w:r>
    </w:p>
    <w:p w:rsidR="00850C3A" w:rsidRDefault="00850C3A" w:rsidP="00604F83">
      <w:pPr>
        <w:jc w:val="both"/>
      </w:pPr>
    </w:p>
    <w:p w:rsidR="00850C3A" w:rsidRDefault="00850C3A" w:rsidP="00604F83">
      <w:pPr>
        <w:jc w:val="both"/>
        <w:rPr>
          <w:b/>
        </w:rPr>
      </w:pPr>
      <w:r w:rsidRPr="00850C3A">
        <w:rPr>
          <w:b/>
        </w:rPr>
        <w:t>PRIJEDLOG KORIŠTENJA NEUTROŠENIH SREDSTAVA (Vlastiti i Donacije)</w:t>
      </w:r>
    </w:p>
    <w:p w:rsidR="00850C3A" w:rsidRDefault="00850C3A" w:rsidP="00604F83">
      <w:pPr>
        <w:jc w:val="both"/>
        <w:rPr>
          <w:b/>
        </w:rPr>
      </w:pPr>
    </w:p>
    <w:p w:rsidR="00850C3A" w:rsidRDefault="00850C3A" w:rsidP="00604F83">
      <w:pPr>
        <w:jc w:val="both"/>
      </w:pPr>
      <w:r>
        <w:t>Predlaže se da se višak sredstava iz Vlastitih prihoda i Donacija utroši za tekuće potrebe , a odnosi se na troškove Zadruge, uređenje školskog vrta, ostali materijali za potrebe redovnog poslovanja itd.</w:t>
      </w:r>
    </w:p>
    <w:p w:rsidR="00850C3A" w:rsidRDefault="00850C3A" w:rsidP="00604F83">
      <w:pPr>
        <w:jc w:val="both"/>
      </w:pPr>
    </w:p>
    <w:p w:rsidR="003C672F" w:rsidRDefault="003C672F" w:rsidP="00604F83">
      <w:pPr>
        <w:jc w:val="both"/>
        <w:rPr>
          <w:b/>
        </w:rPr>
      </w:pPr>
    </w:p>
    <w:p w:rsidR="003C672F" w:rsidRDefault="003C672F" w:rsidP="00604F83">
      <w:pPr>
        <w:jc w:val="both"/>
        <w:rPr>
          <w:b/>
        </w:rPr>
      </w:pPr>
    </w:p>
    <w:p w:rsidR="00850C3A" w:rsidRDefault="00850C3A" w:rsidP="00604F83">
      <w:pPr>
        <w:jc w:val="both"/>
        <w:rPr>
          <w:b/>
          <w:sz w:val="28"/>
          <w:szCs w:val="28"/>
        </w:rPr>
      </w:pPr>
      <w:r w:rsidRPr="003C672F">
        <w:rPr>
          <w:b/>
          <w:sz w:val="28"/>
          <w:szCs w:val="28"/>
        </w:rPr>
        <w:lastRenderedPageBreak/>
        <w:t>IZVJEŠTAJ O OBVEZAMA</w:t>
      </w:r>
    </w:p>
    <w:p w:rsidR="002F3AF2" w:rsidRDefault="002F3AF2" w:rsidP="00604F83">
      <w:pPr>
        <w:jc w:val="both"/>
        <w:rPr>
          <w:b/>
          <w:sz w:val="28"/>
          <w:szCs w:val="28"/>
        </w:rPr>
      </w:pPr>
    </w:p>
    <w:p w:rsidR="002F3AF2" w:rsidRPr="002F3AF2" w:rsidRDefault="002F3AF2" w:rsidP="00604F83">
      <w:pPr>
        <w:jc w:val="both"/>
      </w:pPr>
      <w:r w:rsidRPr="002F3AF2">
        <w:rPr>
          <w:b/>
        </w:rPr>
        <w:t xml:space="preserve">Stanje obveza na dan 31.12.2021. godine iznosi   635.206 kn, </w:t>
      </w:r>
      <w:r w:rsidRPr="002F3AF2">
        <w:t>a sastoji se od:</w:t>
      </w:r>
    </w:p>
    <w:p w:rsidR="002F3AF2" w:rsidRPr="002F3AF2" w:rsidRDefault="002F3AF2" w:rsidP="00604F83">
      <w:pPr>
        <w:jc w:val="both"/>
        <w:rPr>
          <w:sz w:val="28"/>
          <w:szCs w:val="28"/>
        </w:rPr>
      </w:pPr>
    </w:p>
    <w:p w:rsidR="002F3AF2" w:rsidRPr="002F3AF2" w:rsidRDefault="002F3AF2" w:rsidP="00604F83">
      <w:pPr>
        <w:numPr>
          <w:ilvl w:val="0"/>
          <w:numId w:val="2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F3AF2">
        <w:rPr>
          <w:rFonts w:eastAsiaTheme="minorHAnsi"/>
          <w:lang w:eastAsia="en-US"/>
        </w:rPr>
        <w:t>417.672 kn  obveze za zaposlene</w:t>
      </w:r>
    </w:p>
    <w:p w:rsidR="002F3AF2" w:rsidRPr="002F3AF2" w:rsidRDefault="002F3AF2" w:rsidP="00604F83">
      <w:pPr>
        <w:numPr>
          <w:ilvl w:val="0"/>
          <w:numId w:val="2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F3AF2">
        <w:rPr>
          <w:rFonts w:eastAsiaTheme="minorHAnsi"/>
          <w:lang w:eastAsia="en-US"/>
        </w:rPr>
        <w:t>153.484 kn obveze za materijalne rashode</w:t>
      </w:r>
    </w:p>
    <w:p w:rsidR="002F3AF2" w:rsidRPr="002F3AF2" w:rsidRDefault="002F3AF2" w:rsidP="00604F83">
      <w:pPr>
        <w:numPr>
          <w:ilvl w:val="0"/>
          <w:numId w:val="2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F3AF2">
        <w:rPr>
          <w:rFonts w:eastAsiaTheme="minorHAnsi"/>
          <w:lang w:eastAsia="en-US"/>
        </w:rPr>
        <w:t>82 kn  obveze za financijske rashode</w:t>
      </w:r>
    </w:p>
    <w:p w:rsidR="002F3AF2" w:rsidRPr="002F3AF2" w:rsidRDefault="002F3AF2" w:rsidP="00604F83">
      <w:pPr>
        <w:numPr>
          <w:ilvl w:val="0"/>
          <w:numId w:val="2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F3AF2">
        <w:rPr>
          <w:rFonts w:eastAsiaTheme="minorHAnsi"/>
          <w:lang w:eastAsia="en-US"/>
        </w:rPr>
        <w:t>15.446 kn međusobne obveze proračunskih korisnika</w:t>
      </w:r>
    </w:p>
    <w:p w:rsidR="002F3AF2" w:rsidRDefault="002F3AF2" w:rsidP="00604F83">
      <w:pPr>
        <w:numPr>
          <w:ilvl w:val="0"/>
          <w:numId w:val="2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F3AF2">
        <w:rPr>
          <w:rFonts w:eastAsiaTheme="minorHAnsi"/>
          <w:lang w:eastAsia="en-US"/>
        </w:rPr>
        <w:t xml:space="preserve">48.522 kn obveze za nefinancijsku imovinu </w:t>
      </w:r>
    </w:p>
    <w:p w:rsidR="00604F83" w:rsidRPr="00604F83" w:rsidRDefault="00604F83" w:rsidP="00604F83">
      <w:pPr>
        <w:spacing w:after="160"/>
        <w:ind w:left="1080"/>
        <w:contextualSpacing/>
        <w:jc w:val="both"/>
        <w:rPr>
          <w:rFonts w:eastAsiaTheme="minorHAnsi"/>
          <w:lang w:eastAsia="en-US"/>
        </w:rPr>
      </w:pPr>
    </w:p>
    <w:p w:rsidR="00C0624F" w:rsidRDefault="002F3AF2" w:rsidP="00604F83">
      <w:pPr>
        <w:spacing w:after="160"/>
        <w:jc w:val="both"/>
        <w:rPr>
          <w:rFonts w:eastAsiaTheme="minorHAnsi"/>
          <w:lang w:eastAsia="en-US"/>
        </w:rPr>
      </w:pPr>
      <w:r w:rsidRPr="002F3AF2">
        <w:rPr>
          <w:rFonts w:eastAsiaTheme="minorHAnsi"/>
          <w:lang w:eastAsia="en-US"/>
        </w:rPr>
        <w:t>Stanje obveza na kraju izvještajnog razdoblja iznosi 635.206 kn što znači da su sve obveze nedospjele i da će biti podmir</w:t>
      </w:r>
      <w:r w:rsidR="00762328">
        <w:rPr>
          <w:rFonts w:eastAsiaTheme="minorHAnsi"/>
          <w:lang w:eastAsia="en-US"/>
        </w:rPr>
        <w:t>ene tijekom siječnja 2022.g</w:t>
      </w:r>
      <w:r w:rsidRPr="002F3AF2">
        <w:rPr>
          <w:rFonts w:eastAsiaTheme="minorHAnsi"/>
          <w:lang w:eastAsia="en-US"/>
        </w:rPr>
        <w:t>.</w:t>
      </w:r>
    </w:p>
    <w:p w:rsidR="00C0624F" w:rsidRDefault="00C0624F" w:rsidP="00604F83">
      <w:pPr>
        <w:spacing w:after="160"/>
        <w:jc w:val="both"/>
        <w:rPr>
          <w:rFonts w:eastAsiaTheme="minorHAnsi"/>
          <w:b/>
          <w:sz w:val="28"/>
          <w:szCs w:val="28"/>
          <w:lang w:eastAsia="en-US"/>
        </w:rPr>
      </w:pPr>
      <w:r w:rsidRPr="00C0624F">
        <w:rPr>
          <w:rFonts w:eastAsiaTheme="minorHAnsi"/>
          <w:b/>
          <w:sz w:val="28"/>
          <w:szCs w:val="28"/>
          <w:lang w:eastAsia="en-US"/>
        </w:rPr>
        <w:t>Analiza</w:t>
      </w:r>
      <w:r>
        <w:rPr>
          <w:rFonts w:eastAsiaTheme="minorHAnsi"/>
          <w:b/>
          <w:sz w:val="28"/>
          <w:szCs w:val="28"/>
          <w:lang w:eastAsia="en-US"/>
        </w:rPr>
        <w:t xml:space="preserve"> prihoda i</w:t>
      </w:r>
      <w:r w:rsidRPr="00C0624F">
        <w:rPr>
          <w:rFonts w:eastAsiaTheme="minorHAnsi"/>
          <w:b/>
          <w:sz w:val="28"/>
          <w:szCs w:val="28"/>
          <w:lang w:eastAsia="en-US"/>
        </w:rPr>
        <w:t xml:space="preserve"> rashoda : planirano </w:t>
      </w:r>
      <w:r>
        <w:rPr>
          <w:rFonts w:eastAsiaTheme="minorHAnsi"/>
          <w:b/>
          <w:sz w:val="28"/>
          <w:szCs w:val="28"/>
          <w:lang w:eastAsia="en-US"/>
        </w:rPr>
        <w:t>–</w:t>
      </w:r>
      <w:r w:rsidRPr="00C0624F">
        <w:rPr>
          <w:rFonts w:eastAsiaTheme="minorHAnsi"/>
          <w:b/>
          <w:sz w:val="28"/>
          <w:szCs w:val="28"/>
          <w:lang w:eastAsia="en-US"/>
        </w:rPr>
        <w:t xml:space="preserve"> realizirano</w:t>
      </w:r>
    </w:p>
    <w:p w:rsidR="00C0624F" w:rsidRDefault="00C0624F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Iz tabele priložene u privitku ovog izvješća vidljivo je da su nam se prihodi od Grada povećali z</w:t>
      </w:r>
      <w:r w:rsidR="00762328">
        <w:rPr>
          <w:rFonts w:eastAsiaTheme="minorHAnsi"/>
          <w:sz w:val="22"/>
          <w:szCs w:val="22"/>
          <w:lang w:eastAsia="en-US"/>
        </w:rPr>
        <w:t>a 66,55% u odnosu na 2020.g.</w:t>
      </w:r>
      <w:r>
        <w:rPr>
          <w:rFonts w:eastAsiaTheme="minorHAnsi"/>
          <w:sz w:val="22"/>
          <w:szCs w:val="22"/>
          <w:lang w:eastAsia="en-US"/>
        </w:rPr>
        <w:t>, a odnosu na tekući plan veći su za 18,32%.</w:t>
      </w:r>
    </w:p>
    <w:p w:rsidR="004B0A22" w:rsidRDefault="004B0A22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Prihodi od MZO-a  su se poveća</w:t>
      </w:r>
      <w:r w:rsidR="00762328">
        <w:rPr>
          <w:rFonts w:eastAsiaTheme="minorHAnsi"/>
          <w:sz w:val="22"/>
          <w:szCs w:val="22"/>
          <w:lang w:eastAsia="en-US"/>
        </w:rPr>
        <w:t>li 6,96% u odnosu na 2020.g.</w:t>
      </w:r>
      <w:r>
        <w:rPr>
          <w:rFonts w:eastAsiaTheme="minorHAnsi"/>
          <w:sz w:val="22"/>
          <w:szCs w:val="22"/>
          <w:lang w:eastAsia="en-US"/>
        </w:rPr>
        <w:t xml:space="preserve">, a 9,04% </w:t>
      </w:r>
      <w:r w:rsidR="00762328">
        <w:rPr>
          <w:rFonts w:eastAsiaTheme="minorHAnsi"/>
          <w:sz w:val="22"/>
          <w:szCs w:val="22"/>
          <w:lang w:eastAsia="en-US"/>
        </w:rPr>
        <w:t>u odnosu na tekući plan 2021.g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4B0A22" w:rsidRDefault="004B0A22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Vlastiti prihodi su nam se povećal</w:t>
      </w:r>
      <w:r w:rsidR="00762328">
        <w:rPr>
          <w:rFonts w:eastAsiaTheme="minorHAnsi"/>
          <w:sz w:val="22"/>
          <w:szCs w:val="22"/>
          <w:lang w:eastAsia="en-US"/>
        </w:rPr>
        <w:t>i 21,90% u odnosu na 2020.g.</w:t>
      </w:r>
      <w:r>
        <w:rPr>
          <w:rFonts w:eastAsiaTheme="minorHAnsi"/>
          <w:sz w:val="22"/>
          <w:szCs w:val="22"/>
          <w:lang w:eastAsia="en-US"/>
        </w:rPr>
        <w:t>, a u odnosu na tekući plan 2021. nema odstupanja, znači koliko je planirano, toliko je realizirano.</w:t>
      </w:r>
    </w:p>
    <w:p w:rsidR="004B0A22" w:rsidRDefault="004B0A22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Ostali nespomenuti prihodi su nam se povećali za </w:t>
      </w:r>
      <w:r w:rsidR="00762328">
        <w:rPr>
          <w:rFonts w:eastAsiaTheme="minorHAnsi"/>
          <w:sz w:val="22"/>
          <w:szCs w:val="22"/>
          <w:lang w:eastAsia="en-US"/>
        </w:rPr>
        <w:t>465,46% u odnosu na 2020.g</w:t>
      </w:r>
      <w:r>
        <w:rPr>
          <w:rFonts w:eastAsiaTheme="minorHAnsi"/>
          <w:sz w:val="22"/>
          <w:szCs w:val="22"/>
          <w:lang w:eastAsia="en-US"/>
        </w:rPr>
        <w:t>.zbog toga što s</w:t>
      </w:r>
      <w:r w:rsidR="00762328">
        <w:rPr>
          <w:rFonts w:eastAsiaTheme="minorHAnsi"/>
          <w:sz w:val="22"/>
          <w:szCs w:val="22"/>
          <w:lang w:eastAsia="en-US"/>
        </w:rPr>
        <w:t>mo imali refundaciju iz 2020.g.</w:t>
      </w:r>
      <w:r>
        <w:rPr>
          <w:rFonts w:eastAsiaTheme="minorHAnsi"/>
          <w:sz w:val="22"/>
          <w:szCs w:val="22"/>
          <w:lang w:eastAsia="en-US"/>
        </w:rPr>
        <w:t>, te uplate</w:t>
      </w:r>
      <w:r w:rsidR="00604F83">
        <w:rPr>
          <w:rFonts w:eastAsiaTheme="minorHAnsi"/>
          <w:sz w:val="22"/>
          <w:szCs w:val="22"/>
          <w:lang w:eastAsia="en-US"/>
        </w:rPr>
        <w:t xml:space="preserve"> roditelja za popravak tableta.</w:t>
      </w:r>
    </w:p>
    <w:p w:rsidR="00BF0BE2" w:rsidRDefault="00BF0BE2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</w:t>
      </w:r>
      <w:r w:rsidR="004B0A22">
        <w:rPr>
          <w:rFonts w:eastAsiaTheme="minorHAnsi"/>
          <w:sz w:val="22"/>
          <w:szCs w:val="22"/>
          <w:lang w:eastAsia="en-US"/>
        </w:rPr>
        <w:t>roškovi koje financira Grad su se poveć</w:t>
      </w:r>
      <w:r>
        <w:rPr>
          <w:rFonts w:eastAsiaTheme="minorHAnsi"/>
          <w:sz w:val="22"/>
          <w:szCs w:val="22"/>
          <w:lang w:eastAsia="en-US"/>
        </w:rPr>
        <w:t>ali u odnosu na 2020.g. za 5,02</w:t>
      </w:r>
      <w:r w:rsidR="004B0A22">
        <w:rPr>
          <w:rFonts w:eastAsiaTheme="minorHAnsi"/>
          <w:sz w:val="22"/>
          <w:szCs w:val="22"/>
          <w:lang w:eastAsia="en-US"/>
        </w:rPr>
        <w:t xml:space="preserve">%, </w:t>
      </w:r>
      <w:r>
        <w:rPr>
          <w:rFonts w:eastAsiaTheme="minorHAnsi"/>
          <w:sz w:val="22"/>
          <w:szCs w:val="22"/>
          <w:lang w:eastAsia="en-US"/>
        </w:rPr>
        <w:t>a u odnosu na plan povećali su se za 2,97% što i nije neko odstupanje.</w:t>
      </w:r>
    </w:p>
    <w:p w:rsidR="004B0A22" w:rsidRDefault="00BF0BE2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Međutim, na nekim pozicijama je došlo do drastičnih odstupanja kao što je</w:t>
      </w:r>
      <w:r w:rsidR="004B0A22">
        <w:rPr>
          <w:rFonts w:eastAsiaTheme="minorHAnsi"/>
          <w:sz w:val="22"/>
          <w:szCs w:val="22"/>
          <w:lang w:eastAsia="en-US"/>
        </w:rPr>
        <w:t xml:space="preserve"> došlo do pada troškova službenih putovanja, seminara i to zbog nastale Covid 19 situacije</w:t>
      </w:r>
      <w:r>
        <w:rPr>
          <w:rFonts w:eastAsiaTheme="minorHAnsi"/>
          <w:sz w:val="22"/>
          <w:szCs w:val="22"/>
          <w:lang w:eastAsia="en-US"/>
        </w:rPr>
        <w:t xml:space="preserve"> (skoro 76% manje u odnosu na 2020.g., a u odnosu na plan smanjili su se troškovi za 84%). Rashodi za materijal i energiju su se povećali za 48,14% u odnosu na 2020.g. dok su se u odnosu na plan povećali samo 7,84%</w:t>
      </w:r>
      <w:r w:rsidR="00762328">
        <w:rPr>
          <w:rFonts w:eastAsiaTheme="minorHAnsi"/>
          <w:sz w:val="22"/>
          <w:szCs w:val="22"/>
          <w:lang w:eastAsia="en-US"/>
        </w:rPr>
        <w:t>. Razlozi povećanja tih troškova su zbog toga što smo imali dosta ulaganja u školi kao što su zamjena dotrajalih prozora i vrata, zamjena i ugradnja parketa, servisiranje kotlovnice, nabavke sitnog inventara.</w:t>
      </w:r>
    </w:p>
    <w:p w:rsidR="00762328" w:rsidRDefault="00762328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Dolazi do povećanja kapitalnih ulaganja na poziciji SUSTAVA VIDEONADZORA ŠKOLA, što nismo imali u prethodnoj godini, a niti smo imali u planu jer nismo znali da će biti potrebno.</w:t>
      </w:r>
    </w:p>
    <w:p w:rsidR="00762328" w:rsidRDefault="009E4A1E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Nabavk</w:t>
      </w:r>
      <w:bookmarkStart w:id="0" w:name="_GoBack"/>
      <w:bookmarkEnd w:id="0"/>
      <w:r w:rsidR="00762328">
        <w:rPr>
          <w:rFonts w:eastAsiaTheme="minorHAnsi"/>
          <w:sz w:val="22"/>
          <w:szCs w:val="22"/>
          <w:lang w:eastAsia="en-US"/>
        </w:rPr>
        <w:t>a udžbenika i pribora se povećala za 11,94% u odnosu na 2020.g.</w:t>
      </w:r>
    </w:p>
    <w:p w:rsidR="005A4A0A" w:rsidRDefault="005A4A0A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Kapitalna ulaganja u opremu su se smanjila za nekih 50% u odnosu na 2020.g.</w:t>
      </w:r>
    </w:p>
    <w:p w:rsidR="005A4A0A" w:rsidRDefault="005A4A0A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Dioklecijanova škrinjica i Blago našeg Marjana niti ove </w:t>
      </w:r>
      <w:r w:rsidR="00780EC5">
        <w:rPr>
          <w:rFonts w:eastAsiaTheme="minorHAnsi"/>
          <w:sz w:val="22"/>
          <w:szCs w:val="22"/>
          <w:lang w:eastAsia="en-US"/>
        </w:rPr>
        <w:t>2021.g. nisu odrađeni zbog Covid-a.</w:t>
      </w:r>
    </w:p>
    <w:p w:rsidR="00780EC5" w:rsidRDefault="00780EC5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Projekt e-škole je povećan za 58,33% u odnosu na 2020.g.</w:t>
      </w:r>
    </w:p>
    <w:p w:rsidR="00780EC5" w:rsidRDefault="00780EC5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Kapitalna ulaganja u OŠ iznad standarda – kupnja opreme za OŠ je povećan za 247,82% u odnosu na 2020.g. zbog toga što nam je Grad odobrio financiranje preostalih učionica koje su se trebale obnoviti uredskim namještajem (klupe i stolice za učenike), tako da su nam sad sve učionice obnovljene.</w:t>
      </w:r>
    </w:p>
    <w:p w:rsidR="00702D25" w:rsidRDefault="00780EC5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Rashodi od MZO-a su se u ukupnom iznosu povećali za 6,37% u odnosu na 2020.g., a </w:t>
      </w:r>
      <w:r w:rsidR="00E72511">
        <w:rPr>
          <w:rFonts w:eastAsiaTheme="minorHAnsi"/>
          <w:sz w:val="22"/>
          <w:szCs w:val="22"/>
          <w:lang w:eastAsia="en-US"/>
        </w:rPr>
        <w:t xml:space="preserve">za 9,11% u odnosu na plan 2021. Na ukupnoj razini rashoda za zaposlene došlo je do povećanja od 6,73% u odnosu na 2020.g., a u odnosu na plan 2021.došlo je do povećanja od 11,31%, a razlog tome je povećanje osnovice za plaće , </w:t>
      </w:r>
      <w:r w:rsidR="00E72511">
        <w:rPr>
          <w:rFonts w:eastAsiaTheme="minorHAnsi"/>
          <w:sz w:val="22"/>
          <w:szCs w:val="22"/>
          <w:lang w:eastAsia="en-US"/>
        </w:rPr>
        <w:lastRenderedPageBreak/>
        <w:t>te povećanje koeficijenata na plaće, a tu su i  neplanirani troškovi za testiranje zaposlenika na Covid 19. Naknade za prijevoz n</w:t>
      </w:r>
      <w:r w:rsidR="00702D25">
        <w:rPr>
          <w:rFonts w:eastAsiaTheme="minorHAnsi"/>
          <w:sz w:val="22"/>
          <w:szCs w:val="22"/>
          <w:lang w:eastAsia="en-US"/>
        </w:rPr>
        <w:t>a posao i s posla su se povećale</w:t>
      </w:r>
      <w:r w:rsidR="00E72511">
        <w:rPr>
          <w:rFonts w:eastAsiaTheme="minorHAnsi"/>
          <w:sz w:val="22"/>
          <w:szCs w:val="22"/>
          <w:lang w:eastAsia="en-US"/>
        </w:rPr>
        <w:t xml:space="preserve"> u odnosu na 2020.g.za 29,57%, ali su se zato u odnosu na plan 2021.g.smanjili za 15%. Bitno je još spomenuti da su se troškovi udžbenika smanjili za 22,5% u odnosu na lani, a u odnosu na plan 2021. smanjili su se za 20%</w:t>
      </w:r>
      <w:r w:rsidR="00702D25">
        <w:rPr>
          <w:rFonts w:eastAsiaTheme="minorHAnsi"/>
          <w:sz w:val="22"/>
          <w:szCs w:val="22"/>
          <w:lang w:eastAsia="en-US"/>
        </w:rPr>
        <w:t>, razlog tome je što imamo povećanje iznosa udžbenika radnog karaktera koje se knjižilo kao Naknade građanima i kućanstvima u naravi.</w:t>
      </w:r>
    </w:p>
    <w:p w:rsidR="00245046" w:rsidRPr="00702D25" w:rsidRDefault="00702D25" w:rsidP="00604F83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Kad pogledamo na kraju tabele ukupni troškovi su se povećali u odnosu na 2020.g. za 6,28%, a u odnosu na plan 2021.g. su se povećali za 8,18%.</w:t>
      </w:r>
    </w:p>
    <w:p w:rsidR="0047774F" w:rsidRDefault="0047774F" w:rsidP="00CA53CD"/>
    <w:p w:rsidR="003A6640" w:rsidRDefault="003A6640" w:rsidP="00245046">
      <w:pPr>
        <w:rPr>
          <w:color w:val="000000"/>
          <w:sz w:val="22"/>
          <w:szCs w:val="22"/>
          <w:lang w:val="en-US" w:eastAsia="en-US"/>
        </w:rPr>
        <w:sectPr w:rsidR="003A6640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510"/>
        <w:gridCol w:w="1325"/>
        <w:gridCol w:w="1014"/>
        <w:gridCol w:w="891"/>
        <w:gridCol w:w="1400"/>
        <w:gridCol w:w="806"/>
        <w:gridCol w:w="991"/>
      </w:tblGrid>
      <w:tr w:rsidR="00245046" w:rsidRPr="003A6640" w:rsidTr="000966BA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3A6640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br w:type="textWrapping" w:clear="all"/>
            </w:r>
            <w:r w:rsidR="00245046"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1. Izvor financiranja: </w:t>
            </w:r>
            <w:r w:rsidR="00245046"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</w:t>
            </w:r>
            <w:r w:rsidR="00245046"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 - Opći prihodi i primici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11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prihoda/primitka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Prihodi iz nadležnog proračuna- Grad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465450,05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398600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655200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775221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166,55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118,32</w:t>
            </w:r>
          </w:p>
        </w:tc>
      </w:tr>
      <w:tr w:rsidR="00245046" w:rsidRPr="003A6640" w:rsidTr="000966BA">
        <w:trPr>
          <w:trHeight w:val="14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6711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Prihodi iz nadležnog proračuna za financiranje rashoda poslovanja-Grad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408417,05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369800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520080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508483,1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124,50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97,77</w:t>
            </w:r>
          </w:p>
        </w:tc>
      </w:tr>
      <w:tr w:rsidR="00245046" w:rsidRPr="003A6640" w:rsidTr="000966BA">
        <w:trPr>
          <w:trHeight w:val="16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6712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Prihodi iz nadležnog proračuna za financiranje nefinancijske imovine(kapitalne)- Grad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57033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135120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266737,9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341373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467,69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197,41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Izvori financiranja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: Grad Split - preneseni manjak/višak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Višak prihoda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100550,98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Manjak prihoda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-298650,7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-198099,72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2. Izvori financiranja: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MZO</w:t>
            </w: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 - </w:t>
            </w: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Ministarstvo znanosti i obrazovanja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Račun prihoda / primitka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1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Pomoći proračunskim korisnicima iz proračuna koji im nije nadležan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4640097,83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4365000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4551540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4962914,76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109,04</w:t>
            </w:r>
          </w:p>
        </w:tc>
      </w:tr>
      <w:tr w:rsidR="00245046" w:rsidRPr="003A6640" w:rsidTr="000966BA">
        <w:trPr>
          <w:trHeight w:val="1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6361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Tekuće pomoći proračunskim korisnicima iz državnog proračuna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4471738,78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4215000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4386540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4832441,73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108,07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110,17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6362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Kapitalne pomoći iz državnog proračuna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168359,05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130473,03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79,07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0966BA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financiranja: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MZO - preneseni manjak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0966BA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0966BA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0966BA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Manjak prihoda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-3240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-3240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3. Izvori financiranja: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Vlastiti prihodi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prihoda / primitka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Prihodi od kamata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2,09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2,97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148,50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6413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Prihodi od kamata na depozite po viđenju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2,09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2,97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148,50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14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Prihodi od prodaje proizvoda i robe te pruženih usluga i prihodi od donacija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5010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121,90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100,20</w:t>
            </w:r>
          </w:p>
        </w:tc>
      </w:tr>
      <w:tr w:rsidR="00245046" w:rsidRPr="003A6640" w:rsidTr="000966BA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6614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Prihodi od prodaje robe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121,90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100,20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financiranja: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Vlastiti prihodi - preneseni višak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Višak prihoda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4634,19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4053,41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8687,6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4. Izvori financiranja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: Donacije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99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99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99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99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99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99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prihoda / primitka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Prihodi od donacija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6631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Tekuće donacije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6632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Kapitalne donacije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financiranja: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Donacije - višak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Višak prihoda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5211,96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5211,96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66CC"/>
            <w:noWrap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 xml:space="preserve">5. Izvori financiranja: </w:t>
            </w:r>
            <w:r w:rsidRPr="003A6640">
              <w:rPr>
                <w:b/>
                <w:bCs/>
                <w:sz w:val="18"/>
                <w:szCs w:val="18"/>
                <w:lang w:val="en-US" w:eastAsia="en-US"/>
              </w:rPr>
              <w:t>Ostali nespomenuti prihodi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66CC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66CC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66CC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66CC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66CC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66CC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prihoda / primitka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nespomenuti prihodi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618,75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2880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465,45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6526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nespomenuti prihodi po posebnim propisima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618,75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465,45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67+63+64+66+65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Višak / manjak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Višak / manjak 2021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UKUPNO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VIŠAK / MANJAK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-288185,8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  <w:t>101364,39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-186821,41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I IZDACI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Izvori financiranja: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Grad Split - Opći troškovi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CC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CC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296636,83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347300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347800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349454,15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117,81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100,48</w:t>
            </w:r>
          </w:p>
        </w:tc>
      </w:tr>
      <w:tr w:rsidR="00245046" w:rsidRPr="003A6640" w:rsidTr="000966BA">
        <w:trPr>
          <w:trHeight w:val="7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 troškova zaposlenima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11148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24,21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Službena putovanja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8066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1.874,00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15,62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Stručno usavršavanje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1.285,00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61,48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42,83</w:t>
            </w:r>
          </w:p>
        </w:tc>
      </w:tr>
      <w:tr w:rsidR="00245046" w:rsidRPr="003A6640" w:rsidTr="000966B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naknade troškova zaposlenika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71,98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71,40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mat. i energiju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147409,78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238000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202500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218369,23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148,14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107,84</w:t>
            </w:r>
          </w:p>
        </w:tc>
      </w:tr>
      <w:tr w:rsidR="00245046" w:rsidRPr="003A6640" w:rsidTr="000966B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Uredski materijal i ostali 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51654,22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58.200,00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58.200,00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48.939,15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94,74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84,09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Materijal i sirovine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2022,63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3.436,50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169,90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76,37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Energija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63409,96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145.800,00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99.800,00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77.640,63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122,44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77,80</w:t>
            </w:r>
          </w:p>
        </w:tc>
      </w:tr>
      <w:tr w:rsidR="00245046" w:rsidRPr="003A6640" w:rsidTr="000966BA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Materijal i dijelovi za tekuće i investicijsko održavanje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23709,3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17.000,00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27.000,00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54.539,01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202,00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Sitni inventar i auto gume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6613,67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31.488,47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476,11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314,88</w:t>
            </w:r>
          </w:p>
        </w:tc>
      </w:tr>
      <w:tr w:rsidR="00245046" w:rsidRPr="003A6640" w:rsidTr="000966B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Službena,radna i zaštitna odjeća i obuća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2325,47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77,52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323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136371,55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89800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126800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126160,94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99,50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Usluge telefona, pošte i prijevoza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16090,63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16.500,00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13.363,25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80,99</w:t>
            </w:r>
          </w:p>
        </w:tc>
      </w:tr>
      <w:tr w:rsidR="00245046" w:rsidRPr="003A6640" w:rsidTr="000966B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Usluge tekućeg i investicijskog održavanja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42253,15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21.500,00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52.500,00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53.516,17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126,66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101,94</w:t>
            </w:r>
          </w:p>
        </w:tc>
      </w:tr>
      <w:tr w:rsidR="00245046" w:rsidRPr="003A6640" w:rsidTr="000966B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Usluge promidžbe informiranja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4347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99,93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Komunalne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23200,89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23.800,00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19.547,63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84,25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80,44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Zdravstvene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7.500,00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7.835,00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104,47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104,47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Intelektualne i osobne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Računalne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20650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15.862,50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76,82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122,02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26676,88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7.500,00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8.650,00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11.689,39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43,82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135,14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9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 nespomenuti 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1707,5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1050,98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61,55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42,04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Tuzemne članarine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nespomenuti 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nespomenuti 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792,5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1.500,00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50,98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3,40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Financijski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1284,81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1016,25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79,10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67,75</w:t>
            </w:r>
          </w:p>
        </w:tc>
      </w:tr>
      <w:tr w:rsidR="00245046" w:rsidRPr="003A6640" w:rsidTr="000966BA">
        <w:trPr>
          <w:trHeight w:val="7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 financijski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1284,81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1016,25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79,10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67,75</w:t>
            </w:r>
          </w:p>
        </w:tc>
      </w:tr>
      <w:tr w:rsidR="00245046" w:rsidRPr="003A6640" w:rsidTr="000966B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Bankarske usluge i usluge platnog prometa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1284,81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2.000,00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1.016,25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79,10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67,75</w:t>
            </w:r>
          </w:p>
        </w:tc>
      </w:tr>
      <w:tr w:rsidR="00245046" w:rsidRPr="003A6640" w:rsidTr="000966B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nespomenuti financ.rashodi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Grad - Opći troškovi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297921,64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349300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349300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350470,4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117,64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100,34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Izvori financiranja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Grad Split - SUSTAV VIDEONADZORA ŠKOLA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11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proizvedene dugotrajne imovine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24543,75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Postrojenja i oprema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24543,75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Oprema za održavanje i zaštitu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24543,75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Izvori financiranja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: Grad Split - nabavka udžbenika i pribora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1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117565,52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133220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131607,81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98,79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naknade iz proračuna u naravi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117565,52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133220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131607,81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98,79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3722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naknade iz proračuna u naravi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117565,52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133220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131607,81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98,79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financiranja: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 - redovno održavanje objekata OŠ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15546,9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16256,25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104,56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99,98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mat. i energiju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7296,9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Mat.i dijel.za tek.i inv.održ.građ.objekata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2999,4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Sitni inventar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4297,5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16256,25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197,05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99,98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Usluge tek.i inv.održ.građ.objekata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16256,25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197,05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99,98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8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financiranja: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 - Kapitalna ulaganja u opremu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proizvedene dug. Imovine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48360,81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23978,5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49,58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99,91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Postrojenja i oprema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48360,81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23978,5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49,58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99,91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Računala,računalna oprema i uredski namještaj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48360,81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19000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19000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16441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86,53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7537,5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150,75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financiranja: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 - Kapitalna ulaganja u objekte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7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 za dodatna ulag.na nefin.im.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89400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451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Dodatna ulaganja na građ.objektima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89400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4511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Dodatna ulaganja na građ.objektima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89400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finan.: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Grad Split - Šire javne potrebe - iznad </w:t>
            </w:r>
            <w:proofErr w:type="gramStart"/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min.standarda</w:t>
            </w:r>
            <w:proofErr w:type="gramEnd"/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, izvannast. i izvanšk. aktiv.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4998,7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99,97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mat. i energiju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4998,7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99,97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mat.za porebe red.posl.KMT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4998,7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99,97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251,25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mat. i energiju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251,25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14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Materijal za hig.potrebe i njegu -HITNE INTERVENCIJE-maske za djelatnike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251,25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1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 građanima i kućanstvima na temelju osiguranja i druge naknade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3843,75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Ostale naknade iz proračuna u naravi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3843,75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3722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naknade iz proračuna u naravi-maske za učenike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3843,75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 finan.Grad Split - </w:t>
            </w: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Dioklecijanova škrinjica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vAlign w:val="bottom"/>
            <w:hideMark/>
          </w:tcPr>
          <w:p w:rsidR="00245046" w:rsidRPr="003A6640" w:rsidRDefault="00245046" w:rsidP="003A6640">
            <w:pPr>
              <w:jc w:val="both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usluge za komunikaciju i prijevoz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 finan.Grad Split - Prometni odgoj i sigurnost u prometu- PROMETNI POLIGON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usluge za komunikaciju i prijevoz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 finan.Grad Split - Blago našeg Marjana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usluge za komunikaciju i prijevoz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finan.: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 - Projekt e-škole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5625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8906,25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158,33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93,75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5625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8906,25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158,33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93,75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Ostale računalne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5625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8906,25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158,33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93,75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finan.: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 - Kapitalna ulag.u OŠ iznad stand.-kupnja opreme za OŠ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73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proizvedene dug. Imovine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42901,93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106318,75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247,82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Postrojenja i oprema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42901,93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106318,75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247,82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Uredski namještaj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106318,75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Oprema za grijanje,ventilaciju i hlađenje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34033,2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Sportska oprema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8868,73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finan.: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 - Kapitalna ulag.u OŠ -opremanje pametnih učionica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proizvedene dug. Imovine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Postrojenja i oprema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finan.: </w:t>
            </w: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 - Kapitalna ulaganja- nabavka školske lektire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5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proizvedene dug. Imovine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4789,61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99,78</w:t>
            </w:r>
          </w:p>
        </w:tc>
      </w:tr>
      <w:tr w:rsidR="00245046" w:rsidRPr="003A6640" w:rsidTr="000966BA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Knjige, umjetnička djela i ost.izlož.vrijednosti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4789,61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99,78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Knjige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4789,61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99,78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Ukupno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642416,8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398600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655200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674670,02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105,02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102,97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Izvori financiranja: MZO -Ministarstvo znanosti i obrazovanja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zaposlene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4383170,15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4085000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4202740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4677944,71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111,31</w:t>
            </w:r>
          </w:p>
        </w:tc>
      </w:tr>
      <w:tr w:rsidR="00245046" w:rsidRPr="003A6640" w:rsidTr="000966B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Plaće (bruto)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3608329,56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3367000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3467280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3874517,15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107,38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111,75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Plaće za redovan rad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3608329,56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3367000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3467280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3874517,15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107,38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111,75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 rashodi za zaposlene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175867,95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151000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151000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162221,69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107,43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rashodi za zaposlene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175867,95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162221,69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107,43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Doprinosi na plaće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598972,64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567000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584460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641205,87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107,05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109,71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3132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Doprinosi za obv.zdr.osig.zaštite na radu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598972,64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567000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582760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641205,87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107,05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110,03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3133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Doprinosi za obv.osig.u slučaju nezaposlenosti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117368,63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130000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155100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118906,99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76,66</w:t>
            </w:r>
          </w:p>
        </w:tc>
      </w:tr>
      <w:tr w:rsidR="00245046" w:rsidRPr="003A6640" w:rsidTr="000966BA">
        <w:trPr>
          <w:trHeight w:val="7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 troškova zaposlenima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78818,63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102124,49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129,57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85,10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Naknade za prijevoz na posao i s posla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78818,63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102124,49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129,57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85,10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materijal i energiju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28800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Ostali materijal za potrebe redovnog poslovanja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6620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Zdravstvene i veterinarske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6620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 nespomenuti 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35100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10162,5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104,23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28,95</w:t>
            </w:r>
          </w:p>
        </w:tc>
      </w:tr>
      <w:tr w:rsidR="00245046" w:rsidRPr="003A6640" w:rsidTr="000966BA">
        <w:trPr>
          <w:trHeight w:val="1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Novčana naknada zbog nezapošljavanja osoba s invaliditetom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10162,5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104,23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101,63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Troškovi sudskih postupaka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25100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Financijski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28700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financijski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Zatezne kamate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28700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10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 građanima i kućanstvima u naravi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38830,03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10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Naknade građanima i kućanstvima u naravi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38830,03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10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3722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Naknade građanima i kućanstvima u naravi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38830,03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proizvedene dugotr.imovine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168359,05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150000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130473,03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79,07</w:t>
            </w:r>
          </w:p>
        </w:tc>
      </w:tr>
      <w:tr w:rsidR="00245046" w:rsidRPr="003A6640" w:rsidTr="000966BA">
        <w:trPr>
          <w:trHeight w:val="11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Knjige, umjetnička djela i ostale izložbene vrijednosti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168359,05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150000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130473,03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79,07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Knjige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168359,05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130473,03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79,07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Ukupno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MZO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4668897,83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4365000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4551540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4966154,76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106,37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109,11</w:t>
            </w:r>
          </w:p>
        </w:tc>
      </w:tr>
      <w:tr w:rsidR="00245046" w:rsidRPr="003A6640" w:rsidTr="003A6640">
        <w:trPr>
          <w:trHeight w:val="10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10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Izvori financiranja: VLASTITI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70C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8002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10882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3817,5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35,08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Naknade troškova zaposlenima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3213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Stručno usavršavanje zaposlenika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1290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Rashodi za materijal i energiju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8002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0,43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Uredski materijal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9232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0,43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2487,5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150,76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usluge tek. I invest. Održavanja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2487,5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Naknade troškova osobama izvan radnog odnosa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Naknade troškova osobama izvan radnog odnosa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nespomenuti 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Naknade članovima povjerenstava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Troškovi sudskih postupaka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Financijski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178,16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fin.rashodi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178,16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3433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Zatezne kamate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178,16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11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8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6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14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proizvedene dug. Imovine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22,04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15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Knjige, umjetnička djela i ost.izlož.vrijednosti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22,04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6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Knjige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22,04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245046" w:rsidRPr="003A6640" w:rsidTr="000966BA">
        <w:trPr>
          <w:trHeight w:val="11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12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 xml:space="preserve">Ukupno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VLASTITI IZVORI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428,16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8002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10882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3839,56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896,76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35,28</w:t>
            </w:r>
          </w:p>
        </w:tc>
      </w:tr>
      <w:tr w:rsidR="00245046" w:rsidRPr="003A6640" w:rsidTr="003A6640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3A6640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Izvori financiranja: ŽUPANIJA (5.4.1.)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7030A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Račun rashoda/izdatka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Naziv 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2020.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Izvorni plan 2021.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Tekući plan 2021.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Ostvarenje/izvršenje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Ostali nespomenuti rashodi poslovanja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3291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Naknade članovima povjerenstava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245046" w:rsidRPr="003A6640" w:rsidRDefault="00245046" w:rsidP="00245046">
            <w:pPr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UKUPNO ŽUPANIJA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3A6640">
              <w:rPr>
                <w:sz w:val="18"/>
                <w:szCs w:val="18"/>
                <w:lang w:val="en-US" w:eastAsia="en-US"/>
              </w:rPr>
              <w:t>100,00</w:t>
            </w:r>
          </w:p>
        </w:tc>
      </w:tr>
      <w:tr w:rsidR="00245046" w:rsidRPr="003A6640" w:rsidTr="000966B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46" w:rsidRPr="003A6640" w:rsidRDefault="00245046" w:rsidP="0024504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245046" w:rsidRPr="003A6640" w:rsidTr="000966BA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Ukupni troškovi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+ MZO + VLASTITI  + DONACIJE+ ŽUPANIJA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5311742,79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4771602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5218302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5645344,34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106,28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5046" w:rsidRPr="003A6640" w:rsidRDefault="00245046" w:rsidP="00245046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A6640">
              <w:rPr>
                <w:color w:val="000000"/>
                <w:sz w:val="18"/>
                <w:szCs w:val="18"/>
                <w:lang w:val="en-US" w:eastAsia="en-US"/>
              </w:rPr>
              <w:t>108,18</w:t>
            </w:r>
          </w:p>
        </w:tc>
      </w:tr>
    </w:tbl>
    <w:p w:rsidR="0047774F" w:rsidRDefault="0047774F" w:rsidP="00CA53CD"/>
    <w:p w:rsidR="0047774F" w:rsidRDefault="0047774F" w:rsidP="00CA53CD"/>
    <w:p w:rsidR="007E457D" w:rsidRDefault="007E457D" w:rsidP="00CA53CD"/>
    <w:p w:rsidR="00CA53CD" w:rsidRPr="00702D25" w:rsidRDefault="00CA53CD" w:rsidP="00702D25">
      <w:pPr>
        <w:jc w:val="both"/>
        <w:rPr>
          <w:sz w:val="22"/>
          <w:szCs w:val="22"/>
        </w:rPr>
      </w:pPr>
      <w:r w:rsidRPr="00702D25">
        <w:rPr>
          <w:b/>
          <w:sz w:val="22"/>
          <w:szCs w:val="22"/>
          <w:u w:val="single"/>
        </w:rPr>
        <w:t>Izvještaj o postignutim ciljevima i rezultatima programa temeljenim na pokazateljima uspješnosti iz nadležnosti proračunskog korisnika u prethodnoj godini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Realiziran je nastavni plan i program rada škole po razrednim odjelima (16 odjela) zaduženjima učitelja u redovnoj i izbornoj nastavi, izvannastavnim aktivnostima i posebnim poslovima.</w:t>
      </w:r>
    </w:p>
    <w:p w:rsidR="00CA53CD" w:rsidRPr="00702D25" w:rsidRDefault="00CA53CD" w:rsidP="00702D25">
      <w:pPr>
        <w:ind w:firstLine="708"/>
        <w:jc w:val="both"/>
        <w:rPr>
          <w:i/>
          <w:sz w:val="22"/>
          <w:szCs w:val="22"/>
          <w:highlight w:val="yellow"/>
        </w:rPr>
      </w:pP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Školsku godinu 2020./2021. uspješno je završilo 308 učenika. Na ponavljanje godine nije upućen niti jedan učenik, a 1 učenika bio je upućen na dopunski rad te je nakon njega uspješno završio razred. Školsku godinu 2021./2022. upisalo je 320 učenika.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  <w:highlight w:val="yellow"/>
        </w:rPr>
      </w:pPr>
    </w:p>
    <w:p w:rsidR="00CA53CD" w:rsidRPr="00702D25" w:rsidRDefault="00CA53CD" w:rsidP="00702D25">
      <w:pPr>
        <w:jc w:val="both"/>
        <w:rPr>
          <w:sz w:val="22"/>
          <w:szCs w:val="22"/>
        </w:rPr>
      </w:pPr>
      <w:r w:rsidRPr="00702D25">
        <w:rPr>
          <w:sz w:val="22"/>
          <w:szCs w:val="22"/>
        </w:rPr>
        <w:t xml:space="preserve">          Ukupno 10 učenika s teškoćama u razvoju pohađalo je redovnu nastavu uz individualizirani pristup, te dvoje uz prilagodbu, a započeo je postupak utvrđivanja psihofizičkog stanja za još 1 učenika.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Školu je pohađalo i 13 inojezičnih učenika (6 stranih državljana, 7 povratnika). Odrađeno je ukupno 14 provjera znanja hrvatskog jezika te organizirana pripremna nastava za 8 učenika.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  <w:highlight w:val="yellow"/>
        </w:rPr>
      </w:pP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Izborna nastava organizirana je iz: Vjeronauka (od 1. do 8. r.), Informatike (od 1. do 4. r. te od 7. do 8. r.) i Njemačkog jezika (od 4. do 8. r.).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</w:p>
    <w:p w:rsidR="00CA53CD" w:rsidRPr="00702D25" w:rsidRDefault="00CA53CD" w:rsidP="00702D25">
      <w:pPr>
        <w:pStyle w:val="StandardWeb"/>
        <w:kinsoku w:val="0"/>
        <w:overflowPunct w:val="0"/>
        <w:spacing w:before="106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702D25">
        <w:rPr>
          <w:sz w:val="22"/>
          <w:szCs w:val="22"/>
        </w:rPr>
        <w:t xml:space="preserve">Za potencijalno darovite učenike organizirana je dodatna nastava iz sljedećih predmeta: u 1. i 2. razredima iz matematike, a u 3. i 4. iz Prirode i društva; u predmetnoj nastavi iz matematike, hrvatskog jezika, engleskog jezika, geografije i povijesti te iz kemije i biologije te fizike. 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  <w:u w:val="single"/>
        </w:rPr>
        <w:t>Rad i postignuća u dodatnom radu i radu s darovitim učenicima</w:t>
      </w:r>
      <w:r w:rsidRPr="00702D25">
        <w:rPr>
          <w:i/>
          <w:sz w:val="22"/>
          <w:szCs w:val="22"/>
        </w:rPr>
        <w:t xml:space="preserve"> </w:t>
      </w:r>
      <w:r w:rsidRPr="00702D25">
        <w:rPr>
          <w:sz w:val="22"/>
          <w:szCs w:val="22"/>
        </w:rPr>
        <w:t>su rezultati u sudjelovanju</w:t>
      </w:r>
      <w:r w:rsidRPr="00702D25">
        <w:rPr>
          <w:i/>
          <w:sz w:val="22"/>
          <w:szCs w:val="22"/>
        </w:rPr>
        <w:t xml:space="preserve"> </w:t>
      </w:r>
      <w:r w:rsidRPr="00702D25">
        <w:rPr>
          <w:sz w:val="22"/>
          <w:szCs w:val="22"/>
        </w:rPr>
        <w:t>na natjecanjima u znanju i sportu. Na razini škole održala su se natjecanja u znanju iz hrvatskog jezika, engleskog  jezika, matematike, informatike geografije, fizike i Mladih tehničara.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Također, organizirano je međunarodno natjecanje Klokan bez granica.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 xml:space="preserve">Na županijska natjecanja plasiralo se sudjelovalo je 10 učenika (jedan učenik iz 2 predmeta) i to iz hrvatskog jezika, engleskog  jezika, matematike, fizike informatike, Mladih tehničara i geografije. </w:t>
      </w:r>
    </w:p>
    <w:p w:rsidR="00CA53CD" w:rsidRPr="00702D25" w:rsidRDefault="00CA53CD" w:rsidP="00702D25">
      <w:pPr>
        <w:pStyle w:val="Odlomakpopisa"/>
        <w:kinsoku w:val="0"/>
        <w:overflowPunct w:val="0"/>
        <w:ind w:left="0" w:firstLine="708"/>
        <w:jc w:val="both"/>
        <w:textAlignment w:val="baseline"/>
        <w:rPr>
          <w:sz w:val="22"/>
          <w:szCs w:val="22"/>
        </w:rPr>
      </w:pPr>
    </w:p>
    <w:p w:rsidR="00CA53CD" w:rsidRPr="00702D25" w:rsidRDefault="00CA53CD" w:rsidP="00702D25">
      <w:pPr>
        <w:pStyle w:val="Odlomakpopisa"/>
        <w:ind w:left="0" w:firstLine="708"/>
        <w:jc w:val="both"/>
        <w:rPr>
          <w:bCs/>
          <w:sz w:val="22"/>
          <w:szCs w:val="22"/>
        </w:rPr>
      </w:pPr>
      <w:r w:rsidRPr="00702D25">
        <w:rPr>
          <w:bCs/>
          <w:sz w:val="22"/>
          <w:szCs w:val="22"/>
        </w:rPr>
        <w:t xml:space="preserve">U šk. god. 2019./2020. jedna učenica plasirala se na državno natjecanje iz geografije koje je održano 2020./2021. te je zauzela 11. mjesto. </w:t>
      </w:r>
    </w:p>
    <w:p w:rsidR="00CA53CD" w:rsidRPr="00702D25" w:rsidRDefault="00CA53CD" w:rsidP="00702D25">
      <w:pPr>
        <w:pStyle w:val="Odlomakpopisa"/>
        <w:ind w:left="0" w:firstLine="708"/>
        <w:jc w:val="both"/>
        <w:rPr>
          <w:bCs/>
          <w:sz w:val="22"/>
          <w:szCs w:val="22"/>
        </w:rPr>
      </w:pPr>
    </w:p>
    <w:p w:rsidR="00CA53CD" w:rsidRPr="00702D25" w:rsidRDefault="00CA53CD" w:rsidP="00702D25">
      <w:pPr>
        <w:pStyle w:val="Odlomakpopisa"/>
        <w:ind w:left="0" w:firstLine="708"/>
        <w:jc w:val="both"/>
        <w:rPr>
          <w:sz w:val="22"/>
          <w:szCs w:val="22"/>
        </w:rPr>
      </w:pPr>
      <w:r w:rsidRPr="00702D25">
        <w:rPr>
          <w:bCs/>
          <w:sz w:val="22"/>
          <w:szCs w:val="22"/>
        </w:rPr>
        <w:t>Jedna je učenica 8. razreda osvojila 1. mjesto u poeziji na Nazorovim danima.</w:t>
      </w:r>
    </w:p>
    <w:p w:rsidR="00CA53CD" w:rsidRPr="00702D25" w:rsidRDefault="00CA53CD" w:rsidP="00702D25">
      <w:pPr>
        <w:pStyle w:val="Odlomakpopisa"/>
        <w:kinsoku w:val="0"/>
        <w:overflowPunct w:val="0"/>
        <w:ind w:left="0" w:firstLine="708"/>
        <w:jc w:val="both"/>
        <w:textAlignment w:val="baseline"/>
        <w:rPr>
          <w:rStyle w:val="Naglaeno"/>
          <w:b w:val="0"/>
          <w:sz w:val="22"/>
          <w:szCs w:val="22"/>
        </w:rPr>
      </w:pPr>
    </w:p>
    <w:p w:rsidR="00CA53CD" w:rsidRPr="00702D25" w:rsidRDefault="00CA53CD" w:rsidP="00702D25">
      <w:pPr>
        <w:pStyle w:val="Odlomakpopisa"/>
        <w:kinsoku w:val="0"/>
        <w:overflowPunct w:val="0"/>
        <w:ind w:left="0" w:firstLine="708"/>
        <w:jc w:val="both"/>
        <w:textAlignment w:val="baseline"/>
        <w:rPr>
          <w:rStyle w:val="Naglaeno"/>
          <w:b w:val="0"/>
          <w:sz w:val="22"/>
          <w:szCs w:val="22"/>
        </w:rPr>
      </w:pPr>
      <w:r w:rsidRPr="00702D25">
        <w:rPr>
          <w:rStyle w:val="Naglaeno"/>
          <w:b w:val="0"/>
          <w:sz w:val="22"/>
          <w:szCs w:val="22"/>
        </w:rPr>
        <w:t xml:space="preserve">Jedna učenica 7. razreda naše škole osvojila je prvu nagradu na 3. literarno - likovnom natječaju "Velimir Đerek Sokol" - Srce za Hrvatsku. </w:t>
      </w:r>
    </w:p>
    <w:p w:rsidR="00CA53CD" w:rsidRPr="00702D25" w:rsidRDefault="00CA53CD" w:rsidP="00702D25">
      <w:pPr>
        <w:pStyle w:val="Odlomakpopisa"/>
        <w:kinsoku w:val="0"/>
        <w:overflowPunct w:val="0"/>
        <w:ind w:left="0" w:firstLine="708"/>
        <w:jc w:val="both"/>
        <w:textAlignment w:val="baseline"/>
        <w:rPr>
          <w:sz w:val="22"/>
          <w:szCs w:val="22"/>
        </w:rPr>
      </w:pP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Učenica7. razreda  naše škole sudjelovala je na regionalnom sudoku natjecanju u kategoriji kadeta.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</w:p>
    <w:p w:rsidR="00CA53CD" w:rsidRPr="00702D25" w:rsidRDefault="00CA53CD" w:rsidP="00702D25">
      <w:pPr>
        <w:ind w:firstLine="708"/>
        <w:jc w:val="both"/>
        <w:rPr>
          <w:sz w:val="22"/>
          <w:szCs w:val="22"/>
          <w:highlight w:val="yellow"/>
        </w:rPr>
      </w:pPr>
      <w:r w:rsidRPr="00702D25">
        <w:rPr>
          <w:sz w:val="22"/>
          <w:szCs w:val="22"/>
        </w:rPr>
        <w:t>Na kraju nastavne godine 2010./2021. Učiteljsko vijeće je knjigom nagradilo 9 učenika 8. razreda za postignut odličan uspjeh tijekom svih osam godina školovanja.</w:t>
      </w:r>
    </w:p>
    <w:p w:rsidR="00CA53CD" w:rsidRPr="00702D25" w:rsidRDefault="00CA53CD" w:rsidP="00702D25">
      <w:pPr>
        <w:pStyle w:val="StandardWeb"/>
        <w:ind w:firstLine="360"/>
        <w:jc w:val="both"/>
        <w:rPr>
          <w:rStyle w:val="Naglaeno"/>
          <w:rFonts w:eastAsia="BerlingTOT-Reg"/>
          <w:b w:val="0"/>
          <w:sz w:val="22"/>
          <w:szCs w:val="22"/>
        </w:rPr>
      </w:pPr>
      <w:r w:rsidRPr="00702D25">
        <w:rPr>
          <w:rStyle w:val="Naglaeno"/>
          <w:rFonts w:eastAsia="BerlingTOT-Reg"/>
          <w:b w:val="0"/>
          <w:sz w:val="22"/>
          <w:szCs w:val="22"/>
        </w:rPr>
        <w:lastRenderedPageBreak/>
        <w:t>Također smo sudjelovali u projektu CI SDŽ Identifikacija darovitih učenika u matematici koji je namijenjen učenicima 4. razreda te smo se prijavili za sudjelovanje u 2022. g.</w:t>
      </w:r>
    </w:p>
    <w:p w:rsidR="00CA53CD" w:rsidRPr="00702D25" w:rsidRDefault="00CA53CD" w:rsidP="00702D2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Za inojezične učenike organizirana je pripremna i dopunska nastava hrvatskog jezika.</w:t>
      </w:r>
    </w:p>
    <w:p w:rsidR="00CA53CD" w:rsidRPr="00702D25" w:rsidRDefault="00CA53CD" w:rsidP="00702D25">
      <w:pPr>
        <w:spacing w:before="100" w:beforeAutospacing="1" w:after="100" w:afterAutospacing="1"/>
        <w:ind w:firstLine="708"/>
        <w:jc w:val="both"/>
        <w:rPr>
          <w:bCs/>
          <w:sz w:val="22"/>
          <w:szCs w:val="22"/>
        </w:rPr>
      </w:pPr>
      <w:r w:rsidRPr="00702D25">
        <w:rPr>
          <w:sz w:val="22"/>
          <w:szCs w:val="22"/>
        </w:rPr>
        <w:t xml:space="preserve">Kao sastavni dio Školskog preventivnog programa provodi se višegodišnji projekt zaštite mentalnog zdravlja djece i mladih </w:t>
      </w:r>
      <w:r w:rsidRPr="00702D25">
        <w:rPr>
          <w:i/>
          <w:sz w:val="22"/>
          <w:szCs w:val="22"/>
        </w:rPr>
        <w:t>Pretežno vedro</w:t>
      </w:r>
      <w:r w:rsidRPr="00702D25">
        <w:rPr>
          <w:sz w:val="22"/>
          <w:szCs w:val="22"/>
        </w:rPr>
        <w:t xml:space="preserve"> čiji je nositelj županijski Nastavni zavod za javno zdravstvo (Služba za mentalno zdravlje). U okviru projekta, Školski tim sudjelovao na online 5. županijskom međuškolskom natjecanju u edukativnoj društvenoj igri Pretežno vedro koja je u ovom projektu osmišljena u našoj školi. </w:t>
      </w:r>
      <w:r w:rsidRPr="00702D25">
        <w:rPr>
          <w:bCs/>
          <w:sz w:val="22"/>
          <w:szCs w:val="22"/>
        </w:rPr>
        <w:t>Realizacija projekta Pretežno vedro se nastavlja u sljedećoj školskoj godini. Također, budući da Škola ima u</w:t>
      </w:r>
      <w:r w:rsidRPr="00702D25">
        <w:rPr>
          <w:sz w:val="22"/>
          <w:szCs w:val="22"/>
        </w:rPr>
        <w:t xml:space="preserve"> planu stvaranje učionice na otvorenom s istočne strane školske zgrade (natkriveni dio), odnosno oslikavanje dijela zida i stupova pred istočnim ulazom u Školu, provedene su pripreme </w:t>
      </w:r>
      <w:r w:rsidRPr="00702D25">
        <w:rPr>
          <w:bCs/>
          <w:sz w:val="22"/>
          <w:szCs w:val="22"/>
        </w:rPr>
        <w:t>u suradnji s NZJZ SDŽ te srednjim školama. Učenici Likovne škole Split oslikali su otvorenu učionicu, ali su daljnje aktivnosti usporene zbog pandemije, a nastavak se planira tijekom 2022. g.</w:t>
      </w:r>
    </w:p>
    <w:p w:rsidR="00CA53CD" w:rsidRPr="00702D25" w:rsidRDefault="00CA53CD" w:rsidP="00702D25">
      <w:pPr>
        <w:spacing w:before="100" w:beforeAutospacing="1" w:after="100" w:afterAutospacing="1"/>
        <w:ind w:firstLine="360"/>
        <w:jc w:val="both"/>
        <w:rPr>
          <w:bCs/>
          <w:sz w:val="22"/>
          <w:szCs w:val="22"/>
        </w:rPr>
      </w:pPr>
      <w:r w:rsidRPr="00702D25">
        <w:rPr>
          <w:sz w:val="22"/>
          <w:szCs w:val="22"/>
        </w:rPr>
        <w:t>U Školi djeluje više učeničkih skupina za izvannastavne aktivnosti</w:t>
      </w:r>
      <w:r w:rsidRPr="00702D25">
        <w:rPr>
          <w:b/>
          <w:sz w:val="22"/>
          <w:szCs w:val="22"/>
        </w:rPr>
        <w:t xml:space="preserve">: </w:t>
      </w:r>
      <w:r w:rsidRPr="00702D25">
        <w:rPr>
          <w:bCs/>
          <w:sz w:val="22"/>
          <w:szCs w:val="22"/>
        </w:rPr>
        <w:t>Likovna skupina (2. r.), Kreativna grupa (3. i 4. r.), Pjevački zbor (od 4. do 8. r.-nije djelovao zbog epidemioloških mjera), Grupa za kineziterapijsko vježbanje (5. – 8.), Prometna sekcija (od 5. do 8. r.), Vjeronaučna skupina, Debatni klub (od 5. do 8. r.), Mladi knjižničari (4.r.), Literarna grupa (od 5. do 8. r.).</w:t>
      </w:r>
      <w:r w:rsidRPr="00702D25">
        <w:rPr>
          <w:b/>
          <w:bCs/>
          <w:sz w:val="22"/>
          <w:szCs w:val="22"/>
        </w:rPr>
        <w:t xml:space="preserve"> </w:t>
      </w:r>
      <w:r w:rsidRPr="00702D25">
        <w:rPr>
          <w:bCs/>
          <w:sz w:val="22"/>
          <w:szCs w:val="22"/>
        </w:rPr>
        <w:t>Također, djeluje Klub mladih tehničara i Školski športski klub u OŠ Stobreč.</w:t>
      </w:r>
    </w:p>
    <w:p w:rsidR="00CA53CD" w:rsidRPr="00702D25" w:rsidRDefault="00CA53CD" w:rsidP="00702D2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702D25">
        <w:rPr>
          <w:bCs/>
          <w:sz w:val="22"/>
          <w:szCs w:val="22"/>
        </w:rPr>
        <w:t xml:space="preserve">Također, u okviru </w:t>
      </w:r>
      <w:r w:rsidRPr="00702D25">
        <w:rPr>
          <w:sz w:val="22"/>
          <w:szCs w:val="22"/>
        </w:rPr>
        <w:t>Učeničke zadruge LOVORIKA koja u Školi postoji od 2012. g. djeluju dvije Eko sekcije, Maslinari, Likovnjaci, Video/filmska sekcija VideoKaval.</w:t>
      </w:r>
    </w:p>
    <w:p w:rsidR="00CA53CD" w:rsidRPr="00702D25" w:rsidRDefault="00CA53CD" w:rsidP="00702D2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U školskom masliniku je održana berba maslina i proizvedeno maslinovo ulje koje je plasirano po treći put na natječaju za učeničke zadruge CI Poduzetništvo SDŽ „Dalmatinski suvenir”.</w:t>
      </w:r>
    </w:p>
    <w:p w:rsidR="00CA53CD" w:rsidRPr="00702D25" w:rsidRDefault="00CA53CD" w:rsidP="00702D2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Također je Škola (2.a) s projektom „Igre iz naftalina“ prošla na natječaju CI SDŽ „Čuvari baštine“ te je u tijeku njegova realizacija.</w:t>
      </w:r>
    </w:p>
    <w:p w:rsidR="00CA53CD" w:rsidRPr="00702D25" w:rsidRDefault="00CA53CD" w:rsidP="00702D25">
      <w:pPr>
        <w:spacing w:before="100" w:beforeAutospacing="1" w:after="100" w:afterAutospacing="1"/>
        <w:ind w:firstLine="708"/>
        <w:jc w:val="both"/>
        <w:rPr>
          <w:b/>
          <w:sz w:val="22"/>
          <w:szCs w:val="22"/>
        </w:rPr>
      </w:pPr>
      <w:r w:rsidRPr="00702D25">
        <w:rPr>
          <w:sz w:val="22"/>
          <w:szCs w:val="22"/>
        </w:rPr>
        <w:t xml:space="preserve">Učenici 1. razreda su uključeni u </w:t>
      </w:r>
      <w:r w:rsidRPr="00702D25">
        <w:rPr>
          <w:rStyle w:val="Naglaeno"/>
          <w:b w:val="0"/>
          <w:sz w:val="22"/>
          <w:szCs w:val="22"/>
        </w:rPr>
        <w:t>Program Školskog mednog dana s hrvatskih pčelinjaka</w:t>
      </w:r>
      <w:r w:rsidRPr="00702D25">
        <w:rPr>
          <w:rStyle w:val="Naglaeno"/>
          <w:b w:val="0"/>
          <w:sz w:val="22"/>
          <w:szCs w:val="22"/>
          <w:shd w:val="clear" w:color="auto" w:fill="F2FCFC"/>
        </w:rPr>
        <w:t>.</w:t>
      </w:r>
    </w:p>
    <w:p w:rsidR="00CA53CD" w:rsidRPr="00702D25" w:rsidRDefault="00CA53CD" w:rsidP="00702D2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 xml:space="preserve">U Školi se potiče i humanitarno djelovanje pa se učenici s roditeljima te djelatnici Škole uključuju u akcije kao što su: akcija Za Prihvatilište za beskućnike (doručak za </w:t>
      </w:r>
      <w:r w:rsidRPr="00702D25">
        <w:rPr>
          <w:bCs/>
          <w:sz w:val="22"/>
          <w:szCs w:val="22"/>
        </w:rPr>
        <w:t>Dane kruha</w:t>
      </w:r>
      <w:r w:rsidRPr="00702D25">
        <w:rPr>
          <w:sz w:val="22"/>
          <w:szCs w:val="22"/>
        </w:rPr>
        <w:t>), akcija Plastičnim čepovima do skupih lijekova, akcija Marijini obroci, te akcija prikupljanja prehrambenih proizvoda za Hrvatski crveni križ..</w:t>
      </w:r>
    </w:p>
    <w:p w:rsidR="00CA53CD" w:rsidRPr="00702D25" w:rsidRDefault="00CA53CD" w:rsidP="00702D2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Škola redovito održava svoju mrežnu stranicu na kojoj su javnosti dostupni dokumenti relevantni za rad Škole, a na njoj se može pratiti svakodnevni rad Škole, uspjesi naših učenika u i izvanškolskim aktivnostima. Također, može se naći niz edukativnih sadržaja (preventivnih) za roditelje, učenike i učitelje.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  <w:r w:rsidRPr="00702D25">
        <w:rPr>
          <w:sz w:val="22"/>
          <w:szCs w:val="22"/>
        </w:rPr>
        <w:t>Škola, uz podršku Grada Splita, kao jedna od osam gradskih osnovnih škola, ostvaruje međunarodni program Eko-škole za koji je stekla Zelenu zastavu, te je u svibnju 2020. uspješno po drugi put obnovila svoj status Eko-škole. Program se odvijao i tijekom 2020./2021. te se nastavlja u 2021./2022.</w:t>
      </w:r>
    </w:p>
    <w:p w:rsidR="00CA53CD" w:rsidRPr="00702D25" w:rsidRDefault="00CA53CD" w:rsidP="00702D25">
      <w:pPr>
        <w:pStyle w:val="StandardWeb"/>
        <w:ind w:firstLine="708"/>
        <w:jc w:val="both"/>
        <w:rPr>
          <w:color w:val="2D2D2D"/>
          <w:sz w:val="22"/>
          <w:szCs w:val="22"/>
          <w:shd w:val="clear" w:color="auto" w:fill="FFFFFF"/>
        </w:rPr>
      </w:pPr>
      <w:r w:rsidRPr="00702D25">
        <w:rPr>
          <w:rStyle w:val="Naglaeno"/>
          <w:b w:val="0"/>
          <w:sz w:val="22"/>
          <w:szCs w:val="22"/>
        </w:rPr>
        <w:t>Škola je šk. god. 2018./2019. uvela u primjenu</w:t>
      </w:r>
      <w:r w:rsidRPr="00702D25">
        <w:rPr>
          <w:color w:val="2D2D2D"/>
          <w:sz w:val="22"/>
          <w:szCs w:val="22"/>
          <w:shd w:val="clear" w:color="auto" w:fill="FFFFFF"/>
        </w:rPr>
        <w:t xml:space="preserve"> e-Dnevnik - web aplikaciju za vođenje razredne knjige u elektroničkom obliku.</w:t>
      </w:r>
    </w:p>
    <w:p w:rsidR="00CA53CD" w:rsidRPr="00702D25" w:rsidRDefault="00CA53CD" w:rsidP="00702D25">
      <w:pPr>
        <w:pStyle w:val="StandardWeb"/>
        <w:ind w:firstLine="708"/>
        <w:jc w:val="both"/>
        <w:rPr>
          <w:color w:val="2D2D2D"/>
          <w:sz w:val="22"/>
          <w:szCs w:val="22"/>
          <w:shd w:val="clear" w:color="auto" w:fill="FFFFFF"/>
        </w:rPr>
      </w:pPr>
      <w:r w:rsidRPr="00702D25">
        <w:rPr>
          <w:color w:val="2D2D2D"/>
          <w:sz w:val="22"/>
          <w:szCs w:val="22"/>
          <w:shd w:val="clear" w:color="auto" w:fill="FFFFFF"/>
        </w:rPr>
        <w:t>OŠ Stobreč je uključena u projekt „e-Škole“ – Razvoj sustava digitalno zrelih škola.</w:t>
      </w:r>
    </w:p>
    <w:p w:rsidR="00CA53CD" w:rsidRPr="00702D25" w:rsidRDefault="00CA53CD" w:rsidP="00702D25">
      <w:pPr>
        <w:pStyle w:val="StandardWeb"/>
        <w:ind w:firstLine="708"/>
        <w:jc w:val="both"/>
        <w:rPr>
          <w:bCs/>
          <w:sz w:val="22"/>
          <w:szCs w:val="22"/>
        </w:rPr>
      </w:pPr>
      <w:r w:rsidRPr="00702D25">
        <w:rPr>
          <w:rStyle w:val="Naglaeno"/>
          <w:b w:val="0"/>
          <w:sz w:val="22"/>
          <w:szCs w:val="22"/>
        </w:rPr>
        <w:lastRenderedPageBreak/>
        <w:t xml:space="preserve">Tijekom šk. god. 2019./2020. odgojno-obrazovni radnici započeli su provedbom Cjelovite kurikularne reforme „Škola za život“ što je uključilo i opremanje Škole opremom za kabinete i učionice, također, u okviru ove reforme te nabavom 122 tableta za učenike. </w:t>
      </w:r>
    </w:p>
    <w:p w:rsidR="00CA53CD" w:rsidRPr="00702D25" w:rsidRDefault="00CA53CD" w:rsidP="00702D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2D25">
        <w:rPr>
          <w:rStyle w:val="Naglaeno"/>
          <w:b w:val="0"/>
          <w:sz w:val="22"/>
          <w:szCs w:val="22"/>
        </w:rPr>
        <w:t>Tijekom povremenog uvođenja nastave na daljinu (ukupno 6 tjedana) uspješno se prelazilo na nastavu na daljinu primjenom</w:t>
      </w:r>
      <w:r w:rsidRPr="00702D25">
        <w:rPr>
          <w:rFonts w:ascii="Times New Roman" w:hAnsi="Times New Roman" w:cs="Times New Roman"/>
          <w:sz w:val="22"/>
          <w:szCs w:val="22"/>
          <w:shd w:val="clear" w:color="auto" w:fill="FFFFFF"/>
        </w:rPr>
        <w:t> Microsoft Teams softverske platforme za komunikaciju i suradnju koja omogućava zajednički rad kombinirajući online razgovore, audio i video sastanke, pohranu podataka i sl. Školska knjižničarka je postavila i virtualnu knjižnicu za učenike.</w:t>
      </w:r>
      <w:r w:rsidRPr="00702D25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</w:rPr>
        <w:t xml:space="preserve"> Škola je imala </w:t>
      </w:r>
      <w:r w:rsidRPr="00702D25">
        <w:rPr>
          <w:rFonts w:ascii="Times New Roman" w:hAnsi="Times New Roman" w:cs="Times New Roman"/>
          <w:sz w:val="22"/>
          <w:szCs w:val="22"/>
        </w:rPr>
        <w:t xml:space="preserve">Protokol za epidemiološke mjere zaštite od zaraze virusom Covid-19 za školsku godinu 2020./2021. kojim su regulirane obveze roditelja, učenika i djelatnika prije dolaska u školu, pri dolasku, kao i tijekom boravka u školi. </w:t>
      </w:r>
      <w:r w:rsidRPr="00702D25">
        <w:rPr>
          <w:rFonts w:ascii="Times New Roman" w:hAnsi="Times New Roman" w:cs="Times New Roman"/>
          <w:bCs/>
          <w:sz w:val="22"/>
          <w:szCs w:val="22"/>
        </w:rPr>
        <w:t xml:space="preserve">U školski prostor postavljeni su dozatori dezinficijensa te </w:t>
      </w:r>
      <w:r w:rsidRPr="00702D25">
        <w:rPr>
          <w:rFonts w:ascii="Times New Roman" w:hAnsi="Times New Roman" w:cs="Times New Roman"/>
          <w:sz w:val="22"/>
          <w:szCs w:val="22"/>
        </w:rPr>
        <w:t>informativni posteri/oznake na ključnim mjestima za učenike i djelatnike kao podsjetnici o higijenskim protokolima u ponašanju u vrijeme pandemije (npr. u svakom toaletu na vidljivome mjestu stoje upute o pravilnom pranju ruku). Učitelji su educirali učenike o ponašanju u školi tijekom pandemije. Također, učiteljima i roditeljima su bili dostupni informativno-edukativni sadržaji (na mrežnoj stranici Škole) sa savjetima kako se nositi s okolnostima života za vrijeme pandemije, uključujući epidemiološke mjere, npr., nošenje maski.</w:t>
      </w:r>
    </w:p>
    <w:p w:rsidR="00CA53CD" w:rsidRPr="00702D25" w:rsidRDefault="00CA53CD" w:rsidP="00702D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2D25">
        <w:rPr>
          <w:rFonts w:ascii="Times New Roman" w:hAnsi="Times New Roman" w:cs="Times New Roman"/>
          <w:sz w:val="22"/>
          <w:szCs w:val="22"/>
        </w:rPr>
        <w:t>Održana je vježba evakuacije u slučaju požara u suradnji s Javnom vatrogasnom postrojbom Split.</w:t>
      </w:r>
    </w:p>
    <w:p w:rsidR="00CA53CD" w:rsidRPr="00702D25" w:rsidRDefault="00CA53CD" w:rsidP="00702D25">
      <w:pPr>
        <w:ind w:firstLine="708"/>
        <w:jc w:val="both"/>
        <w:rPr>
          <w:sz w:val="22"/>
          <w:szCs w:val="22"/>
        </w:rPr>
      </w:pPr>
    </w:p>
    <w:p w:rsidR="00CA53CD" w:rsidRPr="00702D25" w:rsidRDefault="00CA53CD" w:rsidP="00702D25">
      <w:pPr>
        <w:ind w:firstLine="708"/>
        <w:jc w:val="both"/>
        <w:rPr>
          <w:b/>
          <w:sz w:val="22"/>
          <w:szCs w:val="22"/>
        </w:rPr>
      </w:pPr>
    </w:p>
    <w:p w:rsidR="00CA53CD" w:rsidRDefault="00CA53CD" w:rsidP="00702D25">
      <w:pPr>
        <w:jc w:val="both"/>
        <w:rPr>
          <w:sz w:val="22"/>
          <w:szCs w:val="22"/>
        </w:rPr>
      </w:pPr>
    </w:p>
    <w:p w:rsidR="00300941" w:rsidRDefault="00300941" w:rsidP="00702D25">
      <w:pPr>
        <w:jc w:val="both"/>
        <w:rPr>
          <w:sz w:val="22"/>
          <w:szCs w:val="22"/>
        </w:rPr>
      </w:pPr>
      <w:r>
        <w:rPr>
          <w:sz w:val="22"/>
          <w:szCs w:val="22"/>
        </w:rPr>
        <w:t>U Stobreču, 31. siječnja 2022.</w:t>
      </w:r>
    </w:p>
    <w:p w:rsidR="00300941" w:rsidRPr="00702D25" w:rsidRDefault="00300941" w:rsidP="00702D25">
      <w:pPr>
        <w:jc w:val="both"/>
        <w:rPr>
          <w:sz w:val="22"/>
          <w:szCs w:val="22"/>
        </w:rPr>
      </w:pPr>
    </w:p>
    <w:p w:rsidR="00CA53CD" w:rsidRPr="00702D25" w:rsidRDefault="00CA53CD" w:rsidP="00702D25">
      <w:pPr>
        <w:jc w:val="both"/>
        <w:rPr>
          <w:b/>
          <w:sz w:val="22"/>
          <w:szCs w:val="22"/>
          <w:u w:val="single"/>
        </w:rPr>
      </w:pPr>
    </w:p>
    <w:p w:rsidR="00CA53CD" w:rsidRPr="00604F83" w:rsidRDefault="00702D25" w:rsidP="00702D25">
      <w:pPr>
        <w:jc w:val="both"/>
        <w:rPr>
          <w:b/>
          <w:sz w:val="22"/>
          <w:szCs w:val="22"/>
        </w:rPr>
      </w:pPr>
      <w:r w:rsidRPr="00604F83">
        <w:rPr>
          <w:b/>
          <w:sz w:val="22"/>
          <w:szCs w:val="22"/>
        </w:rPr>
        <w:t>Voditelj računovodstva:</w:t>
      </w:r>
      <w:r w:rsidR="00604F83">
        <w:rPr>
          <w:b/>
          <w:sz w:val="22"/>
          <w:szCs w:val="22"/>
        </w:rPr>
        <w:tab/>
      </w:r>
      <w:r w:rsidR="00604F83">
        <w:rPr>
          <w:b/>
          <w:sz w:val="22"/>
          <w:szCs w:val="22"/>
        </w:rPr>
        <w:tab/>
      </w:r>
      <w:r w:rsidR="00604F83">
        <w:rPr>
          <w:b/>
          <w:sz w:val="22"/>
          <w:szCs w:val="22"/>
        </w:rPr>
        <w:tab/>
      </w:r>
      <w:r w:rsidR="00604F83">
        <w:rPr>
          <w:b/>
          <w:sz w:val="22"/>
          <w:szCs w:val="22"/>
        </w:rPr>
        <w:tab/>
      </w:r>
      <w:r w:rsidR="00604F83">
        <w:rPr>
          <w:b/>
          <w:sz w:val="22"/>
          <w:szCs w:val="22"/>
        </w:rPr>
        <w:tab/>
      </w:r>
      <w:r w:rsidR="00604F83">
        <w:rPr>
          <w:b/>
          <w:sz w:val="22"/>
          <w:szCs w:val="22"/>
        </w:rPr>
        <w:tab/>
      </w:r>
      <w:r w:rsidR="00CA53CD" w:rsidRPr="00604F83">
        <w:rPr>
          <w:b/>
          <w:sz w:val="22"/>
          <w:szCs w:val="22"/>
        </w:rPr>
        <w:t>Ravnatelji</w:t>
      </w:r>
      <w:r w:rsidR="00604F83">
        <w:rPr>
          <w:b/>
          <w:sz w:val="22"/>
          <w:szCs w:val="22"/>
        </w:rPr>
        <w:t>ca:</w:t>
      </w:r>
    </w:p>
    <w:p w:rsidR="00CA53CD" w:rsidRPr="00604F83" w:rsidRDefault="00CA53CD" w:rsidP="00702D25">
      <w:pPr>
        <w:ind w:left="6372"/>
        <w:jc w:val="both"/>
        <w:outlineLvl w:val="0"/>
        <w:rPr>
          <w:b/>
          <w:sz w:val="22"/>
          <w:szCs w:val="22"/>
        </w:rPr>
      </w:pPr>
    </w:p>
    <w:p w:rsidR="00702D25" w:rsidRPr="00604F83" w:rsidRDefault="00702D25" w:rsidP="00702D25">
      <w:pPr>
        <w:ind w:left="6372"/>
        <w:jc w:val="both"/>
        <w:outlineLvl w:val="0"/>
        <w:rPr>
          <w:b/>
          <w:sz w:val="22"/>
          <w:szCs w:val="22"/>
        </w:rPr>
      </w:pPr>
    </w:p>
    <w:p w:rsidR="00A467C4" w:rsidRPr="00604F83" w:rsidRDefault="00702D25" w:rsidP="00702D25">
      <w:pPr>
        <w:jc w:val="both"/>
        <w:outlineLvl w:val="0"/>
        <w:rPr>
          <w:b/>
          <w:sz w:val="22"/>
          <w:szCs w:val="22"/>
        </w:rPr>
      </w:pPr>
      <w:r w:rsidRPr="00604F83">
        <w:rPr>
          <w:b/>
          <w:sz w:val="22"/>
          <w:szCs w:val="22"/>
        </w:rPr>
        <w:t xml:space="preserve">Ines Rajčić, dipl.oec. </w:t>
      </w:r>
      <w:r w:rsidRPr="00604F83">
        <w:rPr>
          <w:b/>
          <w:sz w:val="22"/>
          <w:szCs w:val="22"/>
        </w:rPr>
        <w:tab/>
      </w:r>
      <w:r w:rsidRPr="00604F83">
        <w:rPr>
          <w:b/>
          <w:sz w:val="22"/>
          <w:szCs w:val="22"/>
        </w:rPr>
        <w:tab/>
      </w:r>
      <w:r w:rsidRPr="00604F83">
        <w:rPr>
          <w:b/>
          <w:sz w:val="22"/>
          <w:szCs w:val="22"/>
        </w:rPr>
        <w:tab/>
      </w:r>
      <w:r w:rsidRPr="00604F83">
        <w:rPr>
          <w:b/>
          <w:sz w:val="22"/>
          <w:szCs w:val="22"/>
        </w:rPr>
        <w:tab/>
      </w:r>
      <w:r w:rsidRPr="00604F83">
        <w:rPr>
          <w:b/>
          <w:sz w:val="22"/>
          <w:szCs w:val="22"/>
        </w:rPr>
        <w:tab/>
      </w:r>
      <w:r w:rsidRPr="00604F83">
        <w:rPr>
          <w:b/>
          <w:sz w:val="22"/>
          <w:szCs w:val="22"/>
        </w:rPr>
        <w:tab/>
      </w:r>
      <w:r w:rsidRPr="00604F83">
        <w:rPr>
          <w:b/>
          <w:sz w:val="22"/>
          <w:szCs w:val="22"/>
        </w:rPr>
        <w:tab/>
        <w:t>Marina Baćak, prof.</w:t>
      </w:r>
    </w:p>
    <w:p w:rsidR="00702D25" w:rsidRPr="00604F83" w:rsidRDefault="00702D25" w:rsidP="00702D25">
      <w:pPr>
        <w:jc w:val="both"/>
        <w:outlineLvl w:val="0"/>
        <w:rPr>
          <w:b/>
          <w:sz w:val="22"/>
          <w:szCs w:val="22"/>
        </w:rPr>
      </w:pPr>
    </w:p>
    <w:sectPr w:rsidR="00702D25" w:rsidRPr="00604F83" w:rsidSect="003A66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35" w:rsidRDefault="007C1B35" w:rsidP="00300941">
      <w:r>
        <w:separator/>
      </w:r>
    </w:p>
  </w:endnote>
  <w:endnote w:type="continuationSeparator" w:id="0">
    <w:p w:rsidR="007C1B35" w:rsidRDefault="007C1B35" w:rsidP="0030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gTOT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476173"/>
      <w:docPartObj>
        <w:docPartGallery w:val="Page Numbers (Bottom of Page)"/>
        <w:docPartUnique/>
      </w:docPartObj>
    </w:sdtPr>
    <w:sdtEndPr/>
    <w:sdtContent>
      <w:p w:rsidR="00300941" w:rsidRDefault="003009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A1E">
          <w:rPr>
            <w:noProof/>
          </w:rPr>
          <w:t>21</w:t>
        </w:r>
        <w:r>
          <w:fldChar w:fldCharType="end"/>
        </w:r>
      </w:p>
    </w:sdtContent>
  </w:sdt>
  <w:p w:rsidR="00300941" w:rsidRDefault="003009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35" w:rsidRDefault="007C1B35" w:rsidP="00300941">
      <w:r>
        <w:separator/>
      </w:r>
    </w:p>
  </w:footnote>
  <w:footnote w:type="continuationSeparator" w:id="0">
    <w:p w:rsidR="007C1B35" w:rsidRDefault="007C1B35" w:rsidP="0030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23BA"/>
    <w:multiLevelType w:val="hybridMultilevel"/>
    <w:tmpl w:val="7BF01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181D"/>
    <w:multiLevelType w:val="hybridMultilevel"/>
    <w:tmpl w:val="968AAFEE"/>
    <w:lvl w:ilvl="0" w:tplc="13B20D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CD"/>
    <w:rsid w:val="0004426C"/>
    <w:rsid w:val="00085A4C"/>
    <w:rsid w:val="000966BA"/>
    <w:rsid w:val="000D3F08"/>
    <w:rsid w:val="001B679B"/>
    <w:rsid w:val="00215535"/>
    <w:rsid w:val="00245046"/>
    <w:rsid w:val="00293CB0"/>
    <w:rsid w:val="002F3AF2"/>
    <w:rsid w:val="00300941"/>
    <w:rsid w:val="00341373"/>
    <w:rsid w:val="003626C6"/>
    <w:rsid w:val="003A6640"/>
    <w:rsid w:val="003C672F"/>
    <w:rsid w:val="0047774F"/>
    <w:rsid w:val="004B0A22"/>
    <w:rsid w:val="005120E1"/>
    <w:rsid w:val="005A4A0A"/>
    <w:rsid w:val="00604F83"/>
    <w:rsid w:val="00702D25"/>
    <w:rsid w:val="00762328"/>
    <w:rsid w:val="00780EC5"/>
    <w:rsid w:val="007C1B35"/>
    <w:rsid w:val="007E457D"/>
    <w:rsid w:val="00850C3A"/>
    <w:rsid w:val="009D46F1"/>
    <w:rsid w:val="009E07FC"/>
    <w:rsid w:val="009E4A1E"/>
    <w:rsid w:val="00A467C4"/>
    <w:rsid w:val="00AD4503"/>
    <w:rsid w:val="00B710E4"/>
    <w:rsid w:val="00BF0BE2"/>
    <w:rsid w:val="00C0624F"/>
    <w:rsid w:val="00CA53CD"/>
    <w:rsid w:val="00D468B2"/>
    <w:rsid w:val="00DD75B7"/>
    <w:rsid w:val="00E02322"/>
    <w:rsid w:val="00E72511"/>
    <w:rsid w:val="00E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F674"/>
  <w15:chartTrackingRefBased/>
  <w15:docId w15:val="{8DC6EDAD-51F0-40FC-95D3-20475EC6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A53C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CA53CD"/>
    <w:pPr>
      <w:ind w:left="720"/>
      <w:contextualSpacing/>
    </w:pPr>
  </w:style>
  <w:style w:type="paragraph" w:customStyle="1" w:styleId="Default">
    <w:name w:val="Default"/>
    <w:uiPriority w:val="99"/>
    <w:rsid w:val="00CA53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r-HR"/>
    </w:rPr>
  </w:style>
  <w:style w:type="character" w:styleId="Naglaeno">
    <w:name w:val="Strong"/>
    <w:basedOn w:val="Zadanifontodlomka"/>
    <w:uiPriority w:val="22"/>
    <w:qFormat/>
    <w:rsid w:val="00CA53CD"/>
    <w:rPr>
      <w:b/>
      <w:bCs/>
    </w:rPr>
  </w:style>
  <w:style w:type="character" w:styleId="Hiperveza">
    <w:name w:val="Hyperlink"/>
    <w:basedOn w:val="Zadanifontodlomka"/>
    <w:uiPriority w:val="99"/>
    <w:unhideWhenUsed/>
    <w:rsid w:val="0047774F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0094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094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30094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094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D808-6B19-4C95-A391-E7481CEA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2022-01-30T15:36:00Z</dcterms:created>
  <dcterms:modified xsi:type="dcterms:W3CDTF">2022-01-30T21:28:00Z</dcterms:modified>
</cp:coreProperties>
</file>